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4182E" w14:textId="77777777" w:rsidR="00B24696" w:rsidRPr="00B24696" w:rsidRDefault="00B24696" w:rsidP="00B24696">
      <w:pPr>
        <w:jc w:val="center"/>
        <w:rPr>
          <w:b/>
          <w:sz w:val="28"/>
          <w:szCs w:val="28"/>
        </w:rPr>
      </w:pPr>
      <w:r w:rsidRPr="00B24696">
        <w:rPr>
          <w:b/>
          <w:sz w:val="28"/>
          <w:szCs w:val="28"/>
        </w:rPr>
        <w:t>Measurement of LCLS-II SXR undulator K hysteresis.</w:t>
      </w:r>
    </w:p>
    <w:p w14:paraId="34107C78" w14:textId="77777777" w:rsidR="00F45C37" w:rsidRDefault="00024952">
      <w:r>
        <w:t xml:space="preserve">One of the features of LCLS-II SXR undulators is a significant hysteresis in setting the desired K value. </w:t>
      </w:r>
      <w:r w:rsidR="00F45C37">
        <w:t xml:space="preserve">At a given gap, the undulator K depends on direction from which the gap is set. </w:t>
      </w:r>
      <w:r w:rsidR="0074165B">
        <w:t xml:space="preserve">Whether the source of the hysteresis is mechanical or magnetic or both is not clear now. </w:t>
      </w:r>
    </w:p>
    <w:p w14:paraId="7783E6AD" w14:textId="77777777" w:rsidR="00024952" w:rsidRDefault="0021712C">
      <w:r>
        <w:t xml:space="preserve">The hysteresis is a difference between measured K values at </w:t>
      </w:r>
      <w:r w:rsidR="004D28F4">
        <w:t>the same</w:t>
      </w:r>
      <w:r>
        <w:t xml:space="preserve"> gap whe</w:t>
      </w:r>
      <w:r w:rsidR="00F5200C">
        <w:t>n the gap was set from two directions; closing, coming from bigger to desired gap, minus opening, coming from smaller to desired gap.</w:t>
      </w:r>
      <w:r w:rsidR="00093360" w:rsidRPr="00093360">
        <w:t xml:space="preserve"> </w:t>
      </w:r>
      <w:r w:rsidR="00093360">
        <w:t>Figure 1 shows measured K hysteresis for all SXR undulators.</w:t>
      </w:r>
    </w:p>
    <w:p w14:paraId="1A3567F2" w14:textId="77777777" w:rsidR="00024952" w:rsidRDefault="005B23E6" w:rsidP="005B23E6">
      <w:pPr>
        <w:jc w:val="center"/>
      </w:pPr>
      <w:r>
        <w:rPr>
          <w:noProof/>
        </w:rPr>
        <w:drawing>
          <wp:inline distT="0" distB="0" distL="0" distR="0" wp14:anchorId="0F15A733" wp14:editId="4CBC06E6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DE17460" w14:textId="77777777" w:rsidR="00F45C37" w:rsidRDefault="00F45C37" w:rsidP="005B23E6">
      <w:pPr>
        <w:jc w:val="center"/>
      </w:pPr>
      <w:r>
        <w:t xml:space="preserve">Figure </w:t>
      </w:r>
      <w:r w:rsidR="00B24696">
        <w:t>1</w:t>
      </w:r>
      <w:r>
        <w:t>. SXU’s hysteresis measured at calibration.</w:t>
      </w:r>
    </w:p>
    <w:p w14:paraId="1D3A48F7" w14:textId="77777777" w:rsidR="00F45C37" w:rsidRDefault="00F45C37" w:rsidP="005B23E6">
      <w:pPr>
        <w:jc w:val="center"/>
      </w:pPr>
    </w:p>
    <w:p w14:paraId="600DE726" w14:textId="07CCDBC0" w:rsidR="00C14DC5" w:rsidRDefault="0021712C">
      <w:r>
        <w:t xml:space="preserve">During the calibration process the undulator K was measured vs. gap with gap changing from </w:t>
      </w:r>
      <w:r w:rsidR="008C7C75">
        <w:t xml:space="preserve">the </w:t>
      </w:r>
      <w:r>
        <w:t>small</w:t>
      </w:r>
      <w:r w:rsidR="0042550C">
        <w:t>est</w:t>
      </w:r>
      <w:r>
        <w:t xml:space="preserve"> </w:t>
      </w:r>
      <w:r w:rsidR="008C7C75">
        <w:t xml:space="preserve">7.2mm </w:t>
      </w:r>
      <w:r>
        <w:t xml:space="preserve">to </w:t>
      </w:r>
      <w:r w:rsidR="008C7C75">
        <w:t xml:space="preserve">the </w:t>
      </w:r>
      <w:r>
        <w:t xml:space="preserve">maximum </w:t>
      </w:r>
      <w:r w:rsidR="008C7C75">
        <w:t xml:space="preserve">180mm </w:t>
      </w:r>
      <w:r w:rsidR="00093360">
        <w:t xml:space="preserve">(opening direction) </w:t>
      </w:r>
      <w:r>
        <w:t xml:space="preserve">and a file with </w:t>
      </w:r>
      <w:r w:rsidR="008C7C75">
        <w:t xml:space="preserve">data for a </w:t>
      </w:r>
      <w:r>
        <w:t>cubic spline fit was generated. The same direction</w:t>
      </w:r>
      <w:r w:rsidR="008C7C75">
        <w:t xml:space="preserve"> </w:t>
      </w:r>
      <w:r>
        <w:t xml:space="preserve">must be used during the operation to meet the requirement on K, which </w:t>
      </w:r>
      <w:r w:rsidR="0042550C">
        <w:t xml:space="preserve">is </w:t>
      </w:r>
      <w:r w:rsidR="004D28F4">
        <w:t>set as</w:t>
      </w:r>
      <w:r>
        <w:t xml:space="preserve"> 1*10</w:t>
      </w:r>
      <w:r w:rsidRPr="00024952">
        <w:rPr>
          <w:vertAlign w:val="superscript"/>
        </w:rPr>
        <w:t>-4</w:t>
      </w:r>
      <w:r>
        <w:t xml:space="preserve">. This is one third of total requirement </w:t>
      </w:r>
      <w:bookmarkStart w:id="0" w:name="_GoBack"/>
      <w:r w:rsidRPr="006B4D2D">
        <w:t>on K accuracy</w:t>
      </w:r>
      <w:r w:rsidR="009435E7" w:rsidRPr="006B4D2D">
        <w:t xml:space="preserve"> to allow for other errors</w:t>
      </w:r>
      <w:r w:rsidRPr="006B4D2D">
        <w:t>.</w:t>
      </w:r>
      <w:r w:rsidR="004D28F4" w:rsidRPr="006B4D2D">
        <w:t xml:space="preserve"> </w:t>
      </w:r>
      <w:bookmarkEnd w:id="0"/>
    </w:p>
    <w:p w14:paraId="10697838" w14:textId="77777777" w:rsidR="008C7C75" w:rsidRDefault="004D28F4">
      <w:r>
        <w:t xml:space="preserve">To figure out if this rule should be applied to all possible motions the following test was performed using SXU-021. The undulator K was measured always at 10mm gap with different </w:t>
      </w:r>
      <w:r w:rsidR="008C7C75">
        <w:t>directions</w:t>
      </w:r>
      <w:r>
        <w:t xml:space="preserve"> of gap </w:t>
      </w:r>
      <w:r w:rsidR="008C7C75">
        <w:t>setting</w:t>
      </w:r>
      <w:r>
        <w:t>. The results are summarized in table 1. The notation 7.2mm-&gt;</w:t>
      </w:r>
      <w:r w:rsidR="008C0463">
        <w:t>20mm-&gt;10mm means that the gap was set to 7.2mm initially, then opened to 20mm, and finally closed to 10mm.</w:t>
      </w:r>
      <w:r w:rsidR="004936DA">
        <w:t xml:space="preserve"> The relative change in K value </w:t>
      </w:r>
      <w:proofErr w:type="spellStart"/>
      <w:r w:rsidR="004936DA">
        <w:t>dK</w:t>
      </w:r>
      <w:proofErr w:type="spellEnd"/>
      <w:r w:rsidR="004936DA">
        <w:t>/K is given in 10</w:t>
      </w:r>
      <w:r w:rsidR="004936DA" w:rsidRPr="004936DA">
        <w:rPr>
          <w:vertAlign w:val="superscript"/>
        </w:rPr>
        <w:t>-4</w:t>
      </w:r>
      <w:r w:rsidR="004936DA">
        <w:rPr>
          <w:vertAlign w:val="superscript"/>
        </w:rPr>
        <w:t xml:space="preserve"> </w:t>
      </w:r>
      <w:r w:rsidR="004936DA">
        <w:t xml:space="preserve">units for easy reading. </w:t>
      </w:r>
    </w:p>
    <w:p w14:paraId="3935C6E6" w14:textId="77777777" w:rsidR="004936DA" w:rsidRDefault="008C7C75">
      <w:r>
        <w:t xml:space="preserve">The measurements are divided into two sets. </w:t>
      </w:r>
      <w:r w:rsidR="004936DA">
        <w:t xml:space="preserve">The first set was done to determine the amount </w:t>
      </w:r>
      <w:r w:rsidR="00C705D5">
        <w:t xml:space="preserve">of “overshot” required to set the K correctly. </w:t>
      </w:r>
      <w:r w:rsidR="004936DA">
        <w:t xml:space="preserve">Initially, the gap </w:t>
      </w:r>
      <w:r w:rsidR="0042550C">
        <w:t xml:space="preserve">was </w:t>
      </w:r>
      <w:r w:rsidR="004936DA">
        <w:t xml:space="preserve">set </w:t>
      </w:r>
      <w:r w:rsidR="0042550C">
        <w:t xml:space="preserve">by </w:t>
      </w:r>
      <w:r w:rsidR="004936DA">
        <w:t>opening from 7.2mm to 10mm. The same motion was done before the final K measurement</w:t>
      </w:r>
      <w:r w:rsidR="00C705D5">
        <w:t xml:space="preserve"> to make sure nothing changed during the </w:t>
      </w:r>
      <w:r w:rsidR="0042550C">
        <w:t>test</w:t>
      </w:r>
      <w:r w:rsidR="004936DA">
        <w:t xml:space="preserve">. </w:t>
      </w:r>
    </w:p>
    <w:p w14:paraId="203DD039" w14:textId="6AD279FD" w:rsidR="009435E7" w:rsidRDefault="009435E7" w:rsidP="009435E7">
      <w:r w:rsidRPr="006B4D2D">
        <w:t>The second set of measurements was made to see if small gap changes still required overshoot.  The K values are different because t</w:t>
      </w:r>
      <w:r w:rsidR="00C705D5" w:rsidRPr="006B4D2D">
        <w:t xml:space="preserve">he second set of measurements was done after a number of efforts to </w:t>
      </w:r>
      <w:r w:rsidR="00C705D5">
        <w:lastRenderedPageBreak/>
        <w:t>reduce the hysteresis, like cleaning the encoder surfaces, replacing the encoder springs,</w:t>
      </w:r>
      <w:r w:rsidR="008C7C75">
        <w:t xml:space="preserve"> re-aligning the read head,</w:t>
      </w:r>
      <w:r w:rsidR="00C705D5">
        <w:t xml:space="preserve"> lubricating rails and compensation springs. The encoder offsets ha</w:t>
      </w:r>
      <w:r w:rsidR="0042550C">
        <w:t>d</w:t>
      </w:r>
      <w:r w:rsidR="00C705D5">
        <w:t xml:space="preserve"> to be changed in the process to keep the undulator taper close to zero. </w:t>
      </w:r>
      <w:r>
        <w:t xml:space="preserve">As in the first set, an initial measurement was done after 7.2mm to 10mm motion. The same motion done at the end to confirm that nothing changed in the system. </w:t>
      </w:r>
    </w:p>
    <w:p w14:paraId="5F1C3521" w14:textId="7E69E9C1" w:rsidR="00C705D5" w:rsidRDefault="00C705D5"/>
    <w:p w14:paraId="582F0914" w14:textId="77777777" w:rsidR="004936DA" w:rsidRPr="004936DA" w:rsidRDefault="004936DA" w:rsidP="004936DA">
      <w:pPr>
        <w:jc w:val="center"/>
        <w:rPr>
          <w:b/>
          <w:sz w:val="20"/>
          <w:szCs w:val="20"/>
        </w:rPr>
      </w:pPr>
      <w:r w:rsidRPr="004936DA">
        <w:rPr>
          <w:b/>
          <w:sz w:val="20"/>
          <w:szCs w:val="20"/>
        </w:rPr>
        <w:t>Table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530"/>
        <w:gridCol w:w="1170"/>
      </w:tblGrid>
      <w:tr w:rsidR="004936DA" w:rsidRPr="004936DA" w14:paraId="25FD037A" w14:textId="77777777" w:rsidTr="004936DA">
        <w:trPr>
          <w:trHeight w:val="345"/>
          <w:jc w:val="center"/>
        </w:trPr>
        <w:tc>
          <w:tcPr>
            <w:tcW w:w="1975" w:type="dxa"/>
            <w:noWrap/>
            <w:hideMark/>
          </w:tcPr>
          <w:p w14:paraId="1F7C3928" w14:textId="77777777" w:rsidR="004936DA" w:rsidRPr="004936DA" w:rsidRDefault="004936DA" w:rsidP="004936DA">
            <w:pPr>
              <w:jc w:val="center"/>
              <w:rPr>
                <w:b/>
                <w:bCs/>
              </w:rPr>
            </w:pPr>
            <w:r w:rsidRPr="004936DA">
              <w:rPr>
                <w:b/>
                <w:bCs/>
              </w:rPr>
              <w:t>Gap Motion</w:t>
            </w:r>
          </w:p>
        </w:tc>
        <w:tc>
          <w:tcPr>
            <w:tcW w:w="1530" w:type="dxa"/>
            <w:noWrap/>
            <w:hideMark/>
          </w:tcPr>
          <w:p w14:paraId="7BA974CA" w14:textId="77777777" w:rsidR="004936DA" w:rsidRPr="004936DA" w:rsidRDefault="004936DA" w:rsidP="004936DA">
            <w:pPr>
              <w:jc w:val="center"/>
              <w:rPr>
                <w:b/>
                <w:bCs/>
              </w:rPr>
            </w:pPr>
            <w:r w:rsidRPr="004936DA">
              <w:rPr>
                <w:b/>
                <w:bCs/>
              </w:rPr>
              <w:t>K</w:t>
            </w:r>
          </w:p>
        </w:tc>
        <w:tc>
          <w:tcPr>
            <w:tcW w:w="1170" w:type="dxa"/>
            <w:noWrap/>
            <w:hideMark/>
          </w:tcPr>
          <w:p w14:paraId="2EF2719B" w14:textId="77777777" w:rsidR="004936DA" w:rsidRPr="004936DA" w:rsidRDefault="004936DA" w:rsidP="004936DA">
            <w:pPr>
              <w:jc w:val="center"/>
              <w:rPr>
                <w:b/>
                <w:bCs/>
              </w:rPr>
            </w:pPr>
            <w:proofErr w:type="spellStart"/>
            <w:r w:rsidRPr="004936DA">
              <w:rPr>
                <w:b/>
                <w:bCs/>
              </w:rPr>
              <w:t>dK</w:t>
            </w:r>
            <w:proofErr w:type="spellEnd"/>
            <w:r w:rsidRPr="004936DA">
              <w:rPr>
                <w:b/>
                <w:bCs/>
              </w:rPr>
              <w:t>/K *10</w:t>
            </w:r>
            <w:r w:rsidRPr="004936DA">
              <w:rPr>
                <w:b/>
                <w:bCs/>
                <w:vertAlign w:val="superscript"/>
              </w:rPr>
              <w:t>4</w:t>
            </w:r>
          </w:p>
        </w:tc>
      </w:tr>
      <w:tr w:rsidR="004936DA" w:rsidRPr="004936DA" w14:paraId="0348628C" w14:textId="77777777" w:rsidTr="004936D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767B33B0" w14:textId="77777777" w:rsidR="004936DA" w:rsidRPr="004936DA" w:rsidRDefault="004936DA" w:rsidP="004936DA">
            <w:pPr>
              <w:jc w:val="center"/>
            </w:pPr>
            <w:r w:rsidRPr="004936DA">
              <w:t>7.2-&gt;10</w:t>
            </w:r>
          </w:p>
        </w:tc>
        <w:tc>
          <w:tcPr>
            <w:tcW w:w="1530" w:type="dxa"/>
            <w:noWrap/>
            <w:hideMark/>
          </w:tcPr>
          <w:p w14:paraId="6F7AD501" w14:textId="77777777" w:rsidR="004936DA" w:rsidRPr="004936DA" w:rsidRDefault="004936DA" w:rsidP="004936DA">
            <w:pPr>
              <w:jc w:val="center"/>
            </w:pPr>
            <w:r w:rsidRPr="004936DA">
              <w:t>4.229304</w:t>
            </w:r>
          </w:p>
        </w:tc>
        <w:tc>
          <w:tcPr>
            <w:tcW w:w="1170" w:type="dxa"/>
            <w:noWrap/>
            <w:hideMark/>
          </w:tcPr>
          <w:p w14:paraId="564A811F" w14:textId="77777777" w:rsidR="004936DA" w:rsidRPr="004936DA" w:rsidRDefault="004936DA" w:rsidP="004936DA">
            <w:pPr>
              <w:jc w:val="center"/>
            </w:pPr>
            <w:r w:rsidRPr="004936DA">
              <w:t>0.0</w:t>
            </w:r>
          </w:p>
        </w:tc>
      </w:tr>
      <w:tr w:rsidR="004936DA" w:rsidRPr="004936DA" w14:paraId="29306BFB" w14:textId="77777777" w:rsidTr="004936D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0AF95800" w14:textId="77777777" w:rsidR="004936DA" w:rsidRPr="004936DA" w:rsidRDefault="004936DA" w:rsidP="004936DA">
            <w:pPr>
              <w:jc w:val="center"/>
            </w:pPr>
            <w:r w:rsidRPr="004936DA">
              <w:t>20-&gt;8-&gt;10</w:t>
            </w:r>
          </w:p>
        </w:tc>
        <w:tc>
          <w:tcPr>
            <w:tcW w:w="1530" w:type="dxa"/>
            <w:noWrap/>
            <w:hideMark/>
          </w:tcPr>
          <w:p w14:paraId="1AB1A1E4" w14:textId="77777777" w:rsidR="004936DA" w:rsidRPr="004936DA" w:rsidRDefault="004936DA" w:rsidP="004936DA">
            <w:pPr>
              <w:jc w:val="center"/>
            </w:pPr>
            <w:r w:rsidRPr="004936DA">
              <w:t>4.229149</w:t>
            </w:r>
          </w:p>
        </w:tc>
        <w:tc>
          <w:tcPr>
            <w:tcW w:w="1170" w:type="dxa"/>
            <w:noWrap/>
            <w:hideMark/>
          </w:tcPr>
          <w:p w14:paraId="2B9C608B" w14:textId="77777777" w:rsidR="004936DA" w:rsidRPr="004936DA" w:rsidRDefault="004936DA" w:rsidP="004936DA">
            <w:pPr>
              <w:jc w:val="center"/>
            </w:pPr>
            <w:r w:rsidRPr="004936DA">
              <w:t>-0.4</w:t>
            </w:r>
          </w:p>
        </w:tc>
      </w:tr>
      <w:tr w:rsidR="004936DA" w:rsidRPr="004936DA" w14:paraId="70ECD228" w14:textId="77777777" w:rsidTr="004936D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41AB5636" w14:textId="77777777" w:rsidR="004936DA" w:rsidRPr="004936DA" w:rsidRDefault="004936DA" w:rsidP="004936DA">
            <w:pPr>
              <w:jc w:val="center"/>
            </w:pPr>
            <w:r w:rsidRPr="004936DA">
              <w:t>20-&gt;8.5-&gt;10</w:t>
            </w:r>
          </w:p>
        </w:tc>
        <w:tc>
          <w:tcPr>
            <w:tcW w:w="1530" w:type="dxa"/>
            <w:noWrap/>
            <w:hideMark/>
          </w:tcPr>
          <w:p w14:paraId="65172587" w14:textId="77777777" w:rsidR="004936DA" w:rsidRPr="004936DA" w:rsidRDefault="004936DA" w:rsidP="004936DA">
            <w:pPr>
              <w:jc w:val="center"/>
            </w:pPr>
            <w:r w:rsidRPr="004936DA">
              <w:t>4.228957</w:t>
            </w:r>
          </w:p>
        </w:tc>
        <w:tc>
          <w:tcPr>
            <w:tcW w:w="1170" w:type="dxa"/>
            <w:noWrap/>
            <w:hideMark/>
          </w:tcPr>
          <w:p w14:paraId="44078E59" w14:textId="77777777" w:rsidR="004936DA" w:rsidRPr="004936DA" w:rsidRDefault="004936DA" w:rsidP="004936DA">
            <w:pPr>
              <w:jc w:val="center"/>
            </w:pPr>
            <w:r w:rsidRPr="004936DA">
              <w:t>-0.8</w:t>
            </w:r>
          </w:p>
        </w:tc>
      </w:tr>
      <w:tr w:rsidR="004936DA" w:rsidRPr="004936DA" w14:paraId="11F13B98" w14:textId="77777777" w:rsidTr="004936D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484742F7" w14:textId="77777777" w:rsidR="004936DA" w:rsidRPr="004936DA" w:rsidRDefault="004936DA" w:rsidP="004936DA">
            <w:pPr>
              <w:jc w:val="center"/>
            </w:pPr>
            <w:r w:rsidRPr="004936DA">
              <w:t>20-&gt;9-&gt;10</w:t>
            </w:r>
          </w:p>
        </w:tc>
        <w:tc>
          <w:tcPr>
            <w:tcW w:w="1530" w:type="dxa"/>
            <w:noWrap/>
            <w:hideMark/>
          </w:tcPr>
          <w:p w14:paraId="70E0D013" w14:textId="77777777" w:rsidR="004936DA" w:rsidRPr="004936DA" w:rsidRDefault="004936DA" w:rsidP="004936DA">
            <w:pPr>
              <w:jc w:val="center"/>
            </w:pPr>
            <w:r w:rsidRPr="004936DA">
              <w:t>4.228722</w:t>
            </w:r>
          </w:p>
        </w:tc>
        <w:tc>
          <w:tcPr>
            <w:tcW w:w="1170" w:type="dxa"/>
            <w:noWrap/>
            <w:hideMark/>
          </w:tcPr>
          <w:p w14:paraId="7B9B5AA4" w14:textId="77777777" w:rsidR="004936DA" w:rsidRPr="004936DA" w:rsidRDefault="004936DA" w:rsidP="004936DA">
            <w:pPr>
              <w:jc w:val="center"/>
            </w:pPr>
            <w:r w:rsidRPr="004936DA">
              <w:t>-1.4</w:t>
            </w:r>
          </w:p>
        </w:tc>
      </w:tr>
      <w:tr w:rsidR="004936DA" w:rsidRPr="004936DA" w14:paraId="344164D1" w14:textId="77777777" w:rsidTr="004936D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6E87ECFD" w14:textId="77777777" w:rsidR="004936DA" w:rsidRPr="004936DA" w:rsidRDefault="004936DA" w:rsidP="004936DA">
            <w:pPr>
              <w:jc w:val="center"/>
            </w:pPr>
            <w:r w:rsidRPr="004936DA">
              <w:t>20-&gt;9.5-&gt;10</w:t>
            </w:r>
          </w:p>
        </w:tc>
        <w:tc>
          <w:tcPr>
            <w:tcW w:w="1530" w:type="dxa"/>
            <w:noWrap/>
            <w:hideMark/>
          </w:tcPr>
          <w:p w14:paraId="6F9B9DA5" w14:textId="77777777" w:rsidR="004936DA" w:rsidRPr="004936DA" w:rsidRDefault="004936DA" w:rsidP="004936DA">
            <w:pPr>
              <w:jc w:val="center"/>
            </w:pPr>
            <w:r w:rsidRPr="004936DA">
              <w:t>4.228374</w:t>
            </w:r>
          </w:p>
        </w:tc>
        <w:tc>
          <w:tcPr>
            <w:tcW w:w="1170" w:type="dxa"/>
            <w:noWrap/>
            <w:hideMark/>
          </w:tcPr>
          <w:p w14:paraId="3FFBA6F9" w14:textId="77777777" w:rsidR="004936DA" w:rsidRPr="004936DA" w:rsidRDefault="004936DA" w:rsidP="004936DA">
            <w:pPr>
              <w:jc w:val="center"/>
            </w:pPr>
            <w:r w:rsidRPr="004936DA">
              <w:t>-2.2</w:t>
            </w:r>
          </w:p>
        </w:tc>
      </w:tr>
      <w:tr w:rsidR="004936DA" w:rsidRPr="004936DA" w14:paraId="35535CCF" w14:textId="77777777" w:rsidTr="004936D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4BC56EE8" w14:textId="77777777" w:rsidR="004936DA" w:rsidRPr="004936DA" w:rsidRDefault="004936DA" w:rsidP="004936DA">
            <w:pPr>
              <w:jc w:val="center"/>
            </w:pPr>
            <w:r w:rsidRPr="004936DA">
              <w:t>20-&gt;9.9-&gt;10</w:t>
            </w:r>
          </w:p>
        </w:tc>
        <w:tc>
          <w:tcPr>
            <w:tcW w:w="1530" w:type="dxa"/>
            <w:noWrap/>
            <w:hideMark/>
          </w:tcPr>
          <w:p w14:paraId="703C90F8" w14:textId="77777777" w:rsidR="004936DA" w:rsidRPr="004936DA" w:rsidRDefault="004936DA" w:rsidP="004936DA">
            <w:pPr>
              <w:jc w:val="center"/>
            </w:pPr>
            <w:r w:rsidRPr="004936DA">
              <w:t>4.228074</w:t>
            </w:r>
          </w:p>
        </w:tc>
        <w:tc>
          <w:tcPr>
            <w:tcW w:w="1170" w:type="dxa"/>
            <w:noWrap/>
            <w:hideMark/>
          </w:tcPr>
          <w:p w14:paraId="5E92805D" w14:textId="77777777" w:rsidR="004936DA" w:rsidRPr="004936DA" w:rsidRDefault="004936DA" w:rsidP="004936DA">
            <w:pPr>
              <w:jc w:val="center"/>
            </w:pPr>
            <w:r w:rsidRPr="004936DA">
              <w:t>-2.9</w:t>
            </w:r>
          </w:p>
        </w:tc>
      </w:tr>
      <w:tr w:rsidR="004936DA" w:rsidRPr="004936DA" w14:paraId="50CA28C9" w14:textId="77777777" w:rsidTr="004936D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5A1C2FB0" w14:textId="77777777" w:rsidR="004936DA" w:rsidRPr="004936DA" w:rsidRDefault="004936DA" w:rsidP="004936DA">
            <w:pPr>
              <w:jc w:val="center"/>
            </w:pPr>
            <w:r w:rsidRPr="004936DA">
              <w:t>20-&gt;9.95-&gt;10</w:t>
            </w:r>
          </w:p>
        </w:tc>
        <w:tc>
          <w:tcPr>
            <w:tcW w:w="1530" w:type="dxa"/>
            <w:noWrap/>
            <w:hideMark/>
          </w:tcPr>
          <w:p w14:paraId="065E5F83" w14:textId="77777777" w:rsidR="004936DA" w:rsidRPr="004936DA" w:rsidRDefault="004936DA" w:rsidP="004936DA">
            <w:pPr>
              <w:jc w:val="center"/>
            </w:pPr>
            <w:r w:rsidRPr="004936DA">
              <w:t>4.228041</w:t>
            </w:r>
          </w:p>
        </w:tc>
        <w:tc>
          <w:tcPr>
            <w:tcW w:w="1170" w:type="dxa"/>
            <w:noWrap/>
            <w:hideMark/>
          </w:tcPr>
          <w:p w14:paraId="6D82DFA2" w14:textId="77777777" w:rsidR="004936DA" w:rsidRPr="004936DA" w:rsidRDefault="004936DA" w:rsidP="004936DA">
            <w:pPr>
              <w:jc w:val="center"/>
            </w:pPr>
            <w:r w:rsidRPr="004936DA">
              <w:t>-3.0</w:t>
            </w:r>
          </w:p>
        </w:tc>
      </w:tr>
      <w:tr w:rsidR="004936DA" w:rsidRPr="004936DA" w14:paraId="1662EE3E" w14:textId="77777777" w:rsidTr="004936D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768B8640" w14:textId="77777777" w:rsidR="004936DA" w:rsidRPr="004936DA" w:rsidRDefault="004936DA" w:rsidP="004936DA">
            <w:pPr>
              <w:jc w:val="center"/>
            </w:pPr>
            <w:r w:rsidRPr="004936DA">
              <w:t>20-&gt;9.99-&gt;10</w:t>
            </w:r>
          </w:p>
        </w:tc>
        <w:tc>
          <w:tcPr>
            <w:tcW w:w="1530" w:type="dxa"/>
            <w:noWrap/>
            <w:hideMark/>
          </w:tcPr>
          <w:p w14:paraId="61AA4048" w14:textId="77777777" w:rsidR="004936DA" w:rsidRPr="004936DA" w:rsidRDefault="004936DA" w:rsidP="004936DA">
            <w:pPr>
              <w:jc w:val="center"/>
            </w:pPr>
            <w:r w:rsidRPr="004936DA">
              <w:t>4.227949</w:t>
            </w:r>
          </w:p>
        </w:tc>
        <w:tc>
          <w:tcPr>
            <w:tcW w:w="1170" w:type="dxa"/>
            <w:noWrap/>
            <w:hideMark/>
          </w:tcPr>
          <w:p w14:paraId="5B70EDE2" w14:textId="77777777" w:rsidR="004936DA" w:rsidRPr="004936DA" w:rsidRDefault="004936DA" w:rsidP="004936DA">
            <w:pPr>
              <w:jc w:val="center"/>
            </w:pPr>
            <w:r w:rsidRPr="004936DA">
              <w:t>-3.2</w:t>
            </w:r>
          </w:p>
        </w:tc>
      </w:tr>
      <w:tr w:rsidR="004936DA" w:rsidRPr="004936DA" w14:paraId="775ACBBA" w14:textId="77777777" w:rsidTr="004936D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6C5A6CA7" w14:textId="77777777" w:rsidR="004936DA" w:rsidRPr="004936DA" w:rsidRDefault="004936DA" w:rsidP="004936DA">
            <w:pPr>
              <w:jc w:val="center"/>
            </w:pPr>
            <w:r w:rsidRPr="004936DA">
              <w:t>20-&gt;10</w:t>
            </w:r>
          </w:p>
        </w:tc>
        <w:tc>
          <w:tcPr>
            <w:tcW w:w="1530" w:type="dxa"/>
            <w:noWrap/>
            <w:hideMark/>
          </w:tcPr>
          <w:p w14:paraId="64074258" w14:textId="77777777" w:rsidR="004936DA" w:rsidRPr="004936DA" w:rsidRDefault="004936DA" w:rsidP="004936DA">
            <w:pPr>
              <w:jc w:val="center"/>
            </w:pPr>
            <w:r w:rsidRPr="004936DA">
              <w:t>4.228115</w:t>
            </w:r>
          </w:p>
        </w:tc>
        <w:tc>
          <w:tcPr>
            <w:tcW w:w="1170" w:type="dxa"/>
            <w:noWrap/>
            <w:hideMark/>
          </w:tcPr>
          <w:p w14:paraId="05891798" w14:textId="77777777" w:rsidR="004936DA" w:rsidRPr="004936DA" w:rsidRDefault="004936DA" w:rsidP="004936DA">
            <w:pPr>
              <w:jc w:val="center"/>
            </w:pPr>
            <w:r w:rsidRPr="004936DA">
              <w:t>-2.8</w:t>
            </w:r>
          </w:p>
        </w:tc>
      </w:tr>
      <w:tr w:rsidR="004936DA" w:rsidRPr="004936DA" w14:paraId="5970C8B4" w14:textId="77777777" w:rsidTr="004936D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71469089" w14:textId="77777777" w:rsidR="004936DA" w:rsidRPr="004936DA" w:rsidRDefault="004936DA" w:rsidP="004936DA">
            <w:pPr>
              <w:jc w:val="center"/>
            </w:pPr>
            <w:r w:rsidRPr="004936DA">
              <w:t>20-&gt;7.2-&gt;10</w:t>
            </w:r>
          </w:p>
        </w:tc>
        <w:tc>
          <w:tcPr>
            <w:tcW w:w="1530" w:type="dxa"/>
            <w:noWrap/>
            <w:hideMark/>
          </w:tcPr>
          <w:p w14:paraId="3B23BC40" w14:textId="77777777" w:rsidR="004936DA" w:rsidRPr="004936DA" w:rsidRDefault="004936DA" w:rsidP="004936DA">
            <w:pPr>
              <w:jc w:val="center"/>
            </w:pPr>
            <w:r w:rsidRPr="004936DA">
              <w:t>4.229347</w:t>
            </w:r>
          </w:p>
        </w:tc>
        <w:tc>
          <w:tcPr>
            <w:tcW w:w="1170" w:type="dxa"/>
            <w:noWrap/>
            <w:hideMark/>
          </w:tcPr>
          <w:p w14:paraId="64F9AD0D" w14:textId="77777777" w:rsidR="004936DA" w:rsidRPr="004936DA" w:rsidRDefault="004936DA" w:rsidP="004936DA">
            <w:pPr>
              <w:jc w:val="center"/>
            </w:pPr>
            <w:r w:rsidRPr="004936DA">
              <w:t>0.1</w:t>
            </w:r>
          </w:p>
        </w:tc>
      </w:tr>
      <w:tr w:rsidR="004936DA" w:rsidRPr="004936DA" w14:paraId="1692F952" w14:textId="77777777" w:rsidTr="004936DA">
        <w:trPr>
          <w:trHeight w:val="300"/>
          <w:jc w:val="center"/>
        </w:trPr>
        <w:tc>
          <w:tcPr>
            <w:tcW w:w="1975" w:type="dxa"/>
            <w:noWrap/>
            <w:hideMark/>
          </w:tcPr>
          <w:p w14:paraId="56D07A54" w14:textId="77777777" w:rsidR="004936DA" w:rsidRPr="004936DA" w:rsidRDefault="004936DA" w:rsidP="004936DA">
            <w:pPr>
              <w:jc w:val="center"/>
            </w:pPr>
          </w:p>
        </w:tc>
        <w:tc>
          <w:tcPr>
            <w:tcW w:w="1530" w:type="dxa"/>
            <w:noWrap/>
            <w:hideMark/>
          </w:tcPr>
          <w:p w14:paraId="16F1D9A9" w14:textId="77777777" w:rsidR="004936DA" w:rsidRPr="004936DA" w:rsidRDefault="004936DA" w:rsidP="004936DA">
            <w:pPr>
              <w:jc w:val="center"/>
            </w:pPr>
          </w:p>
        </w:tc>
        <w:tc>
          <w:tcPr>
            <w:tcW w:w="1170" w:type="dxa"/>
            <w:noWrap/>
            <w:hideMark/>
          </w:tcPr>
          <w:p w14:paraId="5737E682" w14:textId="77777777" w:rsidR="004936DA" w:rsidRPr="004936DA" w:rsidRDefault="004936DA" w:rsidP="004936DA">
            <w:pPr>
              <w:jc w:val="center"/>
            </w:pPr>
          </w:p>
        </w:tc>
      </w:tr>
      <w:tr w:rsidR="004936DA" w:rsidRPr="004936DA" w14:paraId="5AD5632B" w14:textId="77777777" w:rsidTr="004936DA">
        <w:trPr>
          <w:trHeight w:val="300"/>
          <w:jc w:val="center"/>
        </w:trPr>
        <w:tc>
          <w:tcPr>
            <w:tcW w:w="1975" w:type="dxa"/>
            <w:noWrap/>
          </w:tcPr>
          <w:p w14:paraId="1F738E71" w14:textId="77777777" w:rsidR="004936DA" w:rsidRPr="004936DA" w:rsidRDefault="004936DA" w:rsidP="004936DA">
            <w:pPr>
              <w:jc w:val="center"/>
            </w:pPr>
            <w:r w:rsidRPr="004936DA">
              <w:t>7.2-&gt;10</w:t>
            </w:r>
          </w:p>
        </w:tc>
        <w:tc>
          <w:tcPr>
            <w:tcW w:w="1530" w:type="dxa"/>
            <w:noWrap/>
          </w:tcPr>
          <w:p w14:paraId="2F2C3BC0" w14:textId="77777777" w:rsidR="004936DA" w:rsidRPr="004936DA" w:rsidRDefault="004936DA" w:rsidP="004936DA">
            <w:pPr>
              <w:jc w:val="center"/>
            </w:pPr>
            <w:r w:rsidRPr="004936DA">
              <w:t>4.233436</w:t>
            </w:r>
          </w:p>
        </w:tc>
        <w:tc>
          <w:tcPr>
            <w:tcW w:w="1170" w:type="dxa"/>
            <w:noWrap/>
          </w:tcPr>
          <w:p w14:paraId="4EFCFF27" w14:textId="77777777" w:rsidR="004936DA" w:rsidRPr="004936DA" w:rsidRDefault="004936DA" w:rsidP="004936DA">
            <w:pPr>
              <w:jc w:val="center"/>
            </w:pPr>
            <w:r w:rsidRPr="004936DA">
              <w:t>0.0</w:t>
            </w:r>
          </w:p>
        </w:tc>
      </w:tr>
      <w:tr w:rsidR="004936DA" w:rsidRPr="004936DA" w14:paraId="53B18412" w14:textId="77777777" w:rsidTr="004936DA">
        <w:trPr>
          <w:trHeight w:val="300"/>
          <w:jc w:val="center"/>
        </w:trPr>
        <w:tc>
          <w:tcPr>
            <w:tcW w:w="1975" w:type="dxa"/>
            <w:noWrap/>
          </w:tcPr>
          <w:p w14:paraId="474A46F5" w14:textId="77777777" w:rsidR="004936DA" w:rsidRPr="004936DA" w:rsidRDefault="004936DA" w:rsidP="004936DA">
            <w:pPr>
              <w:jc w:val="center"/>
            </w:pPr>
            <w:r w:rsidRPr="004936DA">
              <w:t>7.2-&gt;8-&gt;10</w:t>
            </w:r>
          </w:p>
        </w:tc>
        <w:tc>
          <w:tcPr>
            <w:tcW w:w="1530" w:type="dxa"/>
            <w:noWrap/>
          </w:tcPr>
          <w:p w14:paraId="0790F2C9" w14:textId="77777777" w:rsidR="004936DA" w:rsidRPr="004936DA" w:rsidRDefault="004936DA" w:rsidP="004936DA">
            <w:pPr>
              <w:jc w:val="center"/>
            </w:pPr>
            <w:r w:rsidRPr="004936DA">
              <w:t>4.233351</w:t>
            </w:r>
          </w:p>
        </w:tc>
        <w:tc>
          <w:tcPr>
            <w:tcW w:w="1170" w:type="dxa"/>
            <w:noWrap/>
          </w:tcPr>
          <w:p w14:paraId="5EBEAAF6" w14:textId="77777777" w:rsidR="004936DA" w:rsidRPr="004936DA" w:rsidRDefault="004936DA" w:rsidP="004936DA">
            <w:pPr>
              <w:jc w:val="center"/>
            </w:pPr>
            <w:r w:rsidRPr="004936DA">
              <w:t>-0.2</w:t>
            </w:r>
          </w:p>
        </w:tc>
      </w:tr>
      <w:tr w:rsidR="008C7C75" w:rsidRPr="004936DA" w14:paraId="56369279" w14:textId="77777777" w:rsidTr="004936DA">
        <w:trPr>
          <w:trHeight w:val="300"/>
          <w:jc w:val="center"/>
        </w:trPr>
        <w:tc>
          <w:tcPr>
            <w:tcW w:w="1975" w:type="dxa"/>
            <w:noWrap/>
          </w:tcPr>
          <w:p w14:paraId="5C24852C" w14:textId="77777777" w:rsidR="008C7C75" w:rsidRPr="004936DA" w:rsidRDefault="008C7C75" w:rsidP="008C7C75">
            <w:pPr>
              <w:jc w:val="center"/>
            </w:pPr>
            <w:r w:rsidRPr="004936DA">
              <w:t>10-&gt;9-&gt;10</w:t>
            </w:r>
          </w:p>
        </w:tc>
        <w:tc>
          <w:tcPr>
            <w:tcW w:w="1530" w:type="dxa"/>
            <w:noWrap/>
          </w:tcPr>
          <w:p w14:paraId="0015D2A3" w14:textId="77777777" w:rsidR="008C7C75" w:rsidRPr="004936DA" w:rsidRDefault="008C7C75" w:rsidP="008C7C75">
            <w:pPr>
              <w:jc w:val="center"/>
            </w:pPr>
            <w:r w:rsidRPr="004936DA">
              <w:t>4.233457</w:t>
            </w:r>
          </w:p>
        </w:tc>
        <w:tc>
          <w:tcPr>
            <w:tcW w:w="1170" w:type="dxa"/>
            <w:noWrap/>
          </w:tcPr>
          <w:p w14:paraId="603E6F09" w14:textId="77777777" w:rsidR="008C7C75" w:rsidRPr="004936DA" w:rsidRDefault="008C7C75" w:rsidP="008C7C75">
            <w:pPr>
              <w:jc w:val="center"/>
            </w:pPr>
            <w:r w:rsidRPr="004936DA">
              <w:t>0.0</w:t>
            </w:r>
          </w:p>
        </w:tc>
      </w:tr>
      <w:tr w:rsidR="008C7C75" w:rsidRPr="004936DA" w14:paraId="0238E46D" w14:textId="77777777" w:rsidTr="004936DA">
        <w:trPr>
          <w:trHeight w:val="300"/>
          <w:jc w:val="center"/>
        </w:trPr>
        <w:tc>
          <w:tcPr>
            <w:tcW w:w="1975" w:type="dxa"/>
            <w:noWrap/>
          </w:tcPr>
          <w:p w14:paraId="069E0A25" w14:textId="77777777" w:rsidR="008C7C75" w:rsidRPr="004936DA" w:rsidRDefault="008C7C75" w:rsidP="008C7C75">
            <w:pPr>
              <w:jc w:val="center"/>
            </w:pPr>
            <w:r w:rsidRPr="004936DA">
              <w:t>10-&gt;11-&gt;10</w:t>
            </w:r>
          </w:p>
        </w:tc>
        <w:tc>
          <w:tcPr>
            <w:tcW w:w="1530" w:type="dxa"/>
            <w:noWrap/>
          </w:tcPr>
          <w:p w14:paraId="77F7ED47" w14:textId="77777777" w:rsidR="008C7C75" w:rsidRPr="004936DA" w:rsidRDefault="008C7C75" w:rsidP="008C7C75">
            <w:pPr>
              <w:jc w:val="center"/>
            </w:pPr>
            <w:r w:rsidRPr="004936DA">
              <w:t>4.233137</w:t>
            </w:r>
          </w:p>
        </w:tc>
        <w:tc>
          <w:tcPr>
            <w:tcW w:w="1170" w:type="dxa"/>
            <w:noWrap/>
          </w:tcPr>
          <w:p w14:paraId="7D56B3B3" w14:textId="77777777" w:rsidR="008C7C75" w:rsidRPr="004936DA" w:rsidRDefault="008C7C75" w:rsidP="008C7C75">
            <w:pPr>
              <w:jc w:val="center"/>
            </w:pPr>
            <w:r w:rsidRPr="004936DA">
              <w:t>-0.7</w:t>
            </w:r>
          </w:p>
        </w:tc>
      </w:tr>
      <w:tr w:rsidR="0085204F" w:rsidRPr="004936DA" w14:paraId="499D688C" w14:textId="77777777" w:rsidTr="004936DA">
        <w:trPr>
          <w:trHeight w:val="300"/>
          <w:jc w:val="center"/>
        </w:trPr>
        <w:tc>
          <w:tcPr>
            <w:tcW w:w="1975" w:type="dxa"/>
            <w:noWrap/>
          </w:tcPr>
          <w:p w14:paraId="5B9FC997" w14:textId="77777777" w:rsidR="0085204F" w:rsidRPr="004936DA" w:rsidRDefault="0085204F" w:rsidP="0085204F">
            <w:pPr>
              <w:jc w:val="center"/>
            </w:pPr>
            <w:r w:rsidRPr="004936DA">
              <w:t>7.2-&gt;11-&gt;10</w:t>
            </w:r>
          </w:p>
        </w:tc>
        <w:tc>
          <w:tcPr>
            <w:tcW w:w="1530" w:type="dxa"/>
            <w:noWrap/>
          </w:tcPr>
          <w:p w14:paraId="1C059534" w14:textId="77777777" w:rsidR="0085204F" w:rsidRPr="004936DA" w:rsidRDefault="0085204F" w:rsidP="0085204F">
            <w:pPr>
              <w:jc w:val="center"/>
            </w:pPr>
            <w:r w:rsidRPr="004936DA">
              <w:t>4.233037</w:t>
            </w:r>
          </w:p>
        </w:tc>
        <w:tc>
          <w:tcPr>
            <w:tcW w:w="1170" w:type="dxa"/>
            <w:noWrap/>
          </w:tcPr>
          <w:p w14:paraId="1D39B33A" w14:textId="77777777" w:rsidR="0085204F" w:rsidRPr="004936DA" w:rsidRDefault="0085204F" w:rsidP="0085204F">
            <w:pPr>
              <w:jc w:val="center"/>
            </w:pPr>
            <w:r w:rsidRPr="004936DA">
              <w:t>-0.9</w:t>
            </w:r>
          </w:p>
        </w:tc>
      </w:tr>
      <w:tr w:rsidR="0085204F" w:rsidRPr="004936DA" w14:paraId="5E7CC93C" w14:textId="77777777" w:rsidTr="004936DA">
        <w:trPr>
          <w:trHeight w:val="300"/>
          <w:jc w:val="center"/>
        </w:trPr>
        <w:tc>
          <w:tcPr>
            <w:tcW w:w="1975" w:type="dxa"/>
            <w:noWrap/>
          </w:tcPr>
          <w:p w14:paraId="36C0B0B5" w14:textId="77777777" w:rsidR="0085204F" w:rsidRPr="004936DA" w:rsidRDefault="0085204F" w:rsidP="0085204F">
            <w:pPr>
              <w:jc w:val="center"/>
            </w:pPr>
            <w:r w:rsidRPr="004936DA">
              <w:t>10-&gt;12-&gt;10</w:t>
            </w:r>
          </w:p>
        </w:tc>
        <w:tc>
          <w:tcPr>
            <w:tcW w:w="1530" w:type="dxa"/>
            <w:noWrap/>
          </w:tcPr>
          <w:p w14:paraId="1947CE2C" w14:textId="77777777" w:rsidR="0085204F" w:rsidRPr="004936DA" w:rsidRDefault="0085204F" w:rsidP="0085204F">
            <w:pPr>
              <w:jc w:val="center"/>
            </w:pPr>
            <w:r w:rsidRPr="004936DA">
              <w:t>4.23273</w:t>
            </w:r>
          </w:p>
        </w:tc>
        <w:tc>
          <w:tcPr>
            <w:tcW w:w="1170" w:type="dxa"/>
            <w:noWrap/>
          </w:tcPr>
          <w:p w14:paraId="72BD2D39" w14:textId="77777777" w:rsidR="0085204F" w:rsidRPr="004936DA" w:rsidRDefault="0085204F" w:rsidP="0085204F">
            <w:pPr>
              <w:jc w:val="center"/>
            </w:pPr>
            <w:r w:rsidRPr="004936DA">
              <w:t>-1.7</w:t>
            </w:r>
          </w:p>
        </w:tc>
      </w:tr>
      <w:tr w:rsidR="0085204F" w:rsidRPr="004936DA" w14:paraId="1943AF94" w14:textId="77777777" w:rsidTr="004936DA">
        <w:trPr>
          <w:trHeight w:val="300"/>
          <w:jc w:val="center"/>
        </w:trPr>
        <w:tc>
          <w:tcPr>
            <w:tcW w:w="1975" w:type="dxa"/>
            <w:noWrap/>
          </w:tcPr>
          <w:p w14:paraId="7440E16E" w14:textId="77777777" w:rsidR="0085204F" w:rsidRPr="004936DA" w:rsidRDefault="0085204F" w:rsidP="0085204F">
            <w:pPr>
              <w:jc w:val="center"/>
            </w:pPr>
            <w:r w:rsidRPr="004936DA">
              <w:t>7.2-&gt;12-&gt;10</w:t>
            </w:r>
          </w:p>
        </w:tc>
        <w:tc>
          <w:tcPr>
            <w:tcW w:w="1530" w:type="dxa"/>
            <w:noWrap/>
          </w:tcPr>
          <w:p w14:paraId="7815229B" w14:textId="77777777" w:rsidR="0085204F" w:rsidRPr="004936DA" w:rsidRDefault="0085204F" w:rsidP="0085204F">
            <w:pPr>
              <w:jc w:val="center"/>
            </w:pPr>
            <w:r w:rsidRPr="004936DA">
              <w:t>4.232751</w:t>
            </w:r>
          </w:p>
        </w:tc>
        <w:tc>
          <w:tcPr>
            <w:tcW w:w="1170" w:type="dxa"/>
            <w:noWrap/>
          </w:tcPr>
          <w:p w14:paraId="5DDD9901" w14:textId="77777777" w:rsidR="0085204F" w:rsidRPr="004936DA" w:rsidRDefault="0085204F" w:rsidP="0085204F">
            <w:pPr>
              <w:jc w:val="center"/>
            </w:pPr>
            <w:r w:rsidRPr="004936DA">
              <w:t>-1.6</w:t>
            </w:r>
          </w:p>
        </w:tc>
      </w:tr>
      <w:tr w:rsidR="0085204F" w:rsidRPr="004936DA" w14:paraId="2F312C0A" w14:textId="77777777" w:rsidTr="004936DA">
        <w:trPr>
          <w:trHeight w:val="300"/>
          <w:jc w:val="center"/>
        </w:trPr>
        <w:tc>
          <w:tcPr>
            <w:tcW w:w="1975" w:type="dxa"/>
            <w:noWrap/>
          </w:tcPr>
          <w:p w14:paraId="54B3900A" w14:textId="77777777" w:rsidR="0085204F" w:rsidRPr="004936DA" w:rsidRDefault="0085204F" w:rsidP="0085204F">
            <w:pPr>
              <w:jc w:val="center"/>
            </w:pPr>
            <w:r w:rsidRPr="004936DA">
              <w:t>15-&gt;9-&gt;10</w:t>
            </w:r>
          </w:p>
        </w:tc>
        <w:tc>
          <w:tcPr>
            <w:tcW w:w="1530" w:type="dxa"/>
            <w:noWrap/>
          </w:tcPr>
          <w:p w14:paraId="07A9B038" w14:textId="77777777" w:rsidR="0085204F" w:rsidRPr="004936DA" w:rsidRDefault="0085204F" w:rsidP="0085204F">
            <w:pPr>
              <w:jc w:val="center"/>
            </w:pPr>
            <w:r w:rsidRPr="004936DA">
              <w:t>4.233021</w:t>
            </w:r>
          </w:p>
        </w:tc>
        <w:tc>
          <w:tcPr>
            <w:tcW w:w="1170" w:type="dxa"/>
            <w:noWrap/>
          </w:tcPr>
          <w:p w14:paraId="13DA0CFE" w14:textId="77777777" w:rsidR="0085204F" w:rsidRPr="004936DA" w:rsidRDefault="0085204F" w:rsidP="0085204F">
            <w:pPr>
              <w:jc w:val="center"/>
            </w:pPr>
            <w:r w:rsidRPr="004936DA">
              <w:t>-1.0</w:t>
            </w:r>
          </w:p>
        </w:tc>
      </w:tr>
      <w:tr w:rsidR="0085204F" w:rsidRPr="004936DA" w14:paraId="023F72F8" w14:textId="77777777" w:rsidTr="004936DA">
        <w:trPr>
          <w:trHeight w:val="300"/>
          <w:jc w:val="center"/>
        </w:trPr>
        <w:tc>
          <w:tcPr>
            <w:tcW w:w="1975" w:type="dxa"/>
            <w:noWrap/>
          </w:tcPr>
          <w:p w14:paraId="0C734537" w14:textId="77777777" w:rsidR="0085204F" w:rsidRPr="004936DA" w:rsidRDefault="0085204F" w:rsidP="0085204F">
            <w:pPr>
              <w:jc w:val="center"/>
            </w:pPr>
            <w:r w:rsidRPr="004936DA">
              <w:t>7.2-&gt;10</w:t>
            </w:r>
          </w:p>
        </w:tc>
        <w:tc>
          <w:tcPr>
            <w:tcW w:w="1530" w:type="dxa"/>
            <w:noWrap/>
          </w:tcPr>
          <w:p w14:paraId="3D3310B1" w14:textId="77777777" w:rsidR="0085204F" w:rsidRPr="004936DA" w:rsidRDefault="0085204F" w:rsidP="0085204F">
            <w:pPr>
              <w:jc w:val="center"/>
            </w:pPr>
            <w:r w:rsidRPr="004936DA">
              <w:t>4.233342</w:t>
            </w:r>
          </w:p>
        </w:tc>
        <w:tc>
          <w:tcPr>
            <w:tcW w:w="1170" w:type="dxa"/>
            <w:noWrap/>
          </w:tcPr>
          <w:p w14:paraId="6B143B9A" w14:textId="77777777" w:rsidR="0085204F" w:rsidRPr="004936DA" w:rsidRDefault="0085204F" w:rsidP="0085204F">
            <w:pPr>
              <w:jc w:val="center"/>
            </w:pPr>
            <w:r w:rsidRPr="004936DA">
              <w:t>-0.2</w:t>
            </w:r>
          </w:p>
        </w:tc>
      </w:tr>
    </w:tbl>
    <w:p w14:paraId="572A367C" w14:textId="77777777" w:rsidR="006435F5" w:rsidRDefault="006435F5" w:rsidP="006435F5"/>
    <w:p w14:paraId="06155071" w14:textId="77777777" w:rsidR="006435F5" w:rsidRDefault="00F74E16" w:rsidP="006435F5">
      <w:r>
        <w:t xml:space="preserve">The “overshot” required in </w:t>
      </w:r>
      <w:r w:rsidR="00F42D9E">
        <w:t xml:space="preserve">a </w:t>
      </w:r>
      <w:r>
        <w:t xml:space="preserve">gap setting from </w:t>
      </w:r>
      <w:r w:rsidR="00F42D9E">
        <w:t xml:space="preserve">a </w:t>
      </w:r>
      <w:r>
        <w:t xml:space="preserve">bigger gap depends on the magnitude of motion. The K would be set </w:t>
      </w:r>
      <w:r w:rsidR="00F42D9E">
        <w:t>to 10</w:t>
      </w:r>
      <w:r w:rsidR="00F42D9E" w:rsidRPr="00265861">
        <w:rPr>
          <w:vertAlign w:val="superscript"/>
        </w:rPr>
        <w:t>-4</w:t>
      </w:r>
      <w:r>
        <w:t xml:space="preserve"> if motion is in </w:t>
      </w:r>
      <w:r>
        <w:rPr>
          <w:rFonts w:cstheme="minorHAnsi"/>
        </w:rPr>
        <w:t>±</w:t>
      </w:r>
      <w:r>
        <w:t>1</w:t>
      </w:r>
      <w:r w:rsidR="00265861">
        <w:t>.5</w:t>
      </w:r>
      <w:r>
        <w:t xml:space="preserve">mm range. If </w:t>
      </w:r>
      <w:r w:rsidR="005C3E0F">
        <w:t>a bigger</w:t>
      </w:r>
      <w:r>
        <w:t xml:space="preserve"> gap closing is required, </w:t>
      </w:r>
      <w:r w:rsidR="00265861">
        <w:t xml:space="preserve">the “overshot” should be 2mm </w:t>
      </w:r>
      <w:r w:rsidR="00DC2E2B">
        <w:t xml:space="preserve">or the gap should be closed to minimum </w:t>
      </w:r>
      <w:r w:rsidR="00165560">
        <w:t xml:space="preserve">value of </w:t>
      </w:r>
      <w:r w:rsidR="00DC2E2B">
        <w:t xml:space="preserve">7.2mm </w:t>
      </w:r>
      <w:r w:rsidR="00265861">
        <w:t>to set the K with 10</w:t>
      </w:r>
      <w:r w:rsidR="00265861" w:rsidRPr="00265861">
        <w:rPr>
          <w:vertAlign w:val="superscript"/>
        </w:rPr>
        <w:t>-4</w:t>
      </w:r>
      <w:r w:rsidR="00265861">
        <w:t xml:space="preserve"> accuracy.</w:t>
      </w:r>
    </w:p>
    <w:p w14:paraId="7ABBBB84" w14:textId="77777777" w:rsidR="004936DA" w:rsidRDefault="004936DA"/>
    <w:sectPr w:rsidR="00493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52"/>
    <w:rsid w:val="00024952"/>
    <w:rsid w:val="0008109D"/>
    <w:rsid w:val="00093360"/>
    <w:rsid w:val="00165560"/>
    <w:rsid w:val="0021712C"/>
    <w:rsid w:val="00265861"/>
    <w:rsid w:val="0042550C"/>
    <w:rsid w:val="004936DA"/>
    <w:rsid w:val="004D28F4"/>
    <w:rsid w:val="004D4507"/>
    <w:rsid w:val="005B23E6"/>
    <w:rsid w:val="005C3E0F"/>
    <w:rsid w:val="006435F5"/>
    <w:rsid w:val="006B4D2D"/>
    <w:rsid w:val="006D63FD"/>
    <w:rsid w:val="0074165B"/>
    <w:rsid w:val="0085204F"/>
    <w:rsid w:val="008C0463"/>
    <w:rsid w:val="008C7C75"/>
    <w:rsid w:val="009435E7"/>
    <w:rsid w:val="00B24696"/>
    <w:rsid w:val="00C14DC5"/>
    <w:rsid w:val="00C705D5"/>
    <w:rsid w:val="00DC2E2B"/>
    <w:rsid w:val="00F42D9E"/>
    <w:rsid w:val="00F45C37"/>
    <w:rsid w:val="00F5200C"/>
    <w:rsid w:val="00F7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0D69"/>
  <w15:chartTrackingRefBased/>
  <w15:docId w15:val="{B6680D2F-B0CF-4DFB-AA0D-54567230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mmfstorage\ddrive\magdata\LCLS-II\Undulator\SXU_021\DATASET0002\Tuning\Z%20Scans\Hysteresis_stud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SXUs K hysteresis</a:t>
            </a:r>
          </a:p>
        </c:rich>
      </c:tx>
      <c:layout>
        <c:manualLayout>
          <c:xMode val="edge"/>
          <c:yMode val="edge"/>
          <c:x val="0.39004855643044622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Sheet1!$F$2:$F$23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xVal>
          <c:yVal>
            <c:numRef>
              <c:f>Sheet1!$G$2:$G$23</c:f>
              <c:numCache>
                <c:formatCode>General</c:formatCode>
                <c:ptCount val="22"/>
                <c:pt idx="0">
                  <c:v>-1</c:v>
                </c:pt>
                <c:pt idx="1">
                  <c:v>-3</c:v>
                </c:pt>
                <c:pt idx="2">
                  <c:v>-2.5</c:v>
                </c:pt>
                <c:pt idx="3">
                  <c:v>-3</c:v>
                </c:pt>
                <c:pt idx="4">
                  <c:v>-2.8</c:v>
                </c:pt>
                <c:pt idx="5">
                  <c:v>-1.3</c:v>
                </c:pt>
                <c:pt idx="6">
                  <c:v>-1.5</c:v>
                </c:pt>
                <c:pt idx="7">
                  <c:v>-2.2000000000000002</c:v>
                </c:pt>
                <c:pt idx="8">
                  <c:v>-2.6</c:v>
                </c:pt>
                <c:pt idx="9">
                  <c:v>-3.7</c:v>
                </c:pt>
                <c:pt idx="10">
                  <c:v>-1.7</c:v>
                </c:pt>
                <c:pt idx="11">
                  <c:v>-3.1</c:v>
                </c:pt>
                <c:pt idx="12">
                  <c:v>-2.5</c:v>
                </c:pt>
                <c:pt idx="13">
                  <c:v>-2.2000000000000002</c:v>
                </c:pt>
                <c:pt idx="14">
                  <c:v>-1.6</c:v>
                </c:pt>
                <c:pt idx="15">
                  <c:v>-3.7</c:v>
                </c:pt>
                <c:pt idx="16">
                  <c:v>-5</c:v>
                </c:pt>
                <c:pt idx="17">
                  <c:v>-2.9</c:v>
                </c:pt>
                <c:pt idx="18">
                  <c:v>-3.6</c:v>
                </c:pt>
                <c:pt idx="19">
                  <c:v>-3.1</c:v>
                </c:pt>
                <c:pt idx="20">
                  <c:v>-4.0999999999999996</c:v>
                </c:pt>
                <c:pt idx="21">
                  <c:v>-1.3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947-4050-8054-C561403AA1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4970096"/>
        <c:axId val="594966816"/>
      </c:scatterChart>
      <c:valAx>
        <c:axId val="594970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Undulator S/N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4966816"/>
        <c:crossesAt val="-6"/>
        <c:crossBetween val="midCat"/>
      </c:valAx>
      <c:valAx>
        <c:axId val="59496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dK/K * 10</a:t>
                </a:r>
                <a:r>
                  <a:rPr lang="en-US" baseline="30000"/>
                  <a:t>4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49700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2</cp:revision>
  <dcterms:created xsi:type="dcterms:W3CDTF">2021-05-17T15:21:00Z</dcterms:created>
  <dcterms:modified xsi:type="dcterms:W3CDTF">2021-05-17T15:21:00Z</dcterms:modified>
</cp:coreProperties>
</file>