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bookmarkStart w:id="0" w:name="_GoBack"/>
      <w:bookmarkEnd w:id="0"/>
      <w:r w:rsidRPr="00351EC5">
        <w:rPr>
          <w:b w:val="0"/>
        </w:rPr>
        <w:t>SLAC Traveler for LCLS</w:t>
      </w:r>
      <w:r>
        <w:rPr>
          <w:b w:val="0"/>
        </w:rPr>
        <w:t>-II</w:t>
      </w:r>
      <w:r w:rsidRPr="00351EC5">
        <w:rPr>
          <w:b w:val="0"/>
        </w:rPr>
        <w:t xml:space="preserve"> </w:t>
      </w:r>
      <w:r w:rsidR="00F1452F">
        <w:rPr>
          <w:b w:val="0"/>
        </w:rPr>
        <w:t>1.69</w:t>
      </w:r>
      <w:r w:rsidR="00955BC4">
        <w:rPr>
          <w:b w:val="0"/>
        </w:rPr>
        <w:t xml:space="preserve">2Q3.5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ED1D1C" w:rsidP="001025D0">
            <w:pPr>
              <w:spacing w:after="40" w:line="360" w:lineRule="exact"/>
              <w:jc w:val="center"/>
              <w:rPr>
                <w:szCs w:val="24"/>
              </w:rPr>
            </w:pPr>
            <w:r>
              <w:rPr>
                <w:szCs w:val="24"/>
              </w:rPr>
              <w:t>4101</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E8162B" w:rsidP="008827A3">
            <w:pPr>
              <w:spacing w:after="40" w:line="360" w:lineRule="exact"/>
              <w:jc w:val="center"/>
              <w:rPr>
                <w:szCs w:val="24"/>
              </w:rPr>
            </w:pPr>
            <w:r>
              <w:rPr>
                <w:szCs w:val="24"/>
              </w:rPr>
              <w:t>8</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1025D0">
            <w:pPr>
              <w:spacing w:after="40" w:line="360" w:lineRule="exact"/>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1"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E8162B">
            <w:pPr>
              <w:spacing w:after="40" w:line="360" w:lineRule="exact"/>
              <w:jc w:val="both"/>
              <w:rPr>
                <w:szCs w:val="24"/>
              </w:rPr>
            </w:pPr>
            <w:r>
              <w:rPr>
                <w:szCs w:val="24"/>
              </w:rPr>
              <w:t>KC 6/</w:t>
            </w:r>
            <w:r w:rsidR="00E8162B">
              <w:rPr>
                <w:szCs w:val="24"/>
              </w:rPr>
              <w:t>6</w:t>
            </w:r>
            <w:r>
              <w:rPr>
                <w:szCs w:val="24"/>
              </w:rPr>
              <w:t>/2016</w:t>
            </w:r>
          </w:p>
        </w:tc>
      </w:tr>
      <w:bookmarkEnd w:id="1"/>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ED1D1C">
              <w:rPr>
                <w:sz w:val="18"/>
                <w:szCs w:val="18"/>
              </w:rPr>
              <w:t>4101</w:t>
            </w:r>
            <w:r w:rsidRPr="00D27225">
              <w:rPr>
                <w:sz w:val="18"/>
                <w:szCs w:val="18"/>
              </w:rPr>
              <w:t>/</w:t>
            </w:r>
            <w:r w:rsidR="00ED1D1C">
              <w:rPr>
                <w:sz w:val="18"/>
                <w:szCs w:val="18"/>
              </w:rPr>
              <w:t>4101</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5A349190" wp14:editId="2DC12EDC">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672F76D3" wp14:editId="22EE72BE">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0B4A0B1" wp14:editId="1C856C96">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91497C" w:rsidP="001025D0">
            <w:pPr>
              <w:spacing w:after="40" w:line="360" w:lineRule="exact"/>
              <w:jc w:val="both"/>
            </w:pPr>
            <w:r>
              <w:t>8/16</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drawing>
          <wp:inline distT="0" distB="0" distL="0" distR="0" wp14:anchorId="45A37881" wp14:editId="2B52C7AE">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F457BF" w:rsidP="001025D0">
            <w:pPr>
              <w:spacing w:after="40" w:line="360" w:lineRule="exact"/>
              <w:jc w:val="right"/>
            </w:pPr>
            <w:r>
              <w:rPr>
                <w:rFonts w:ascii="Courier New" w:hAnsi="Courier New" w:cs="Courier New"/>
              </w:rPr>
              <w:t xml:space="preserve">26.96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651845">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F457BF" w:rsidP="001025D0">
            <w:pPr>
              <w:spacing w:after="40" w:line="360" w:lineRule="exact"/>
              <w:jc w:val="right"/>
              <w:rPr>
                <w:szCs w:val="24"/>
              </w:rPr>
            </w:pPr>
            <w:r>
              <w:rPr>
                <w:rFonts w:ascii="Courier New" w:hAnsi="Courier New" w:cs="Courier New"/>
              </w:rPr>
              <w:t xml:space="preserve">28.34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666405" w:rsidP="00666405">
            <w:pPr>
              <w:spacing w:after="40" w:line="360" w:lineRule="exact"/>
              <w:jc w:val="right"/>
            </w:pPr>
            <w:r>
              <w:t>10.691</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ED1D1C">
              <w:rPr>
                <w:rFonts w:ascii="Courier" w:eastAsia="MS Mincho" w:hAnsi="Courier"/>
                <w:color w:val="0000FF"/>
                <w:sz w:val="18"/>
                <w:szCs w:val="18"/>
                <w:lang w:eastAsia="ja-JP"/>
              </w:rPr>
              <w:t>4101</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577E41" w:rsidP="001025D0">
            <w:pPr>
              <w:spacing w:after="40" w:line="360" w:lineRule="exact"/>
              <w:jc w:val="right"/>
              <w:rPr>
                <w:szCs w:val="24"/>
              </w:rPr>
            </w:pPr>
            <w:r>
              <w:rPr>
                <w:szCs w:val="24"/>
              </w:rPr>
              <w:t xml:space="preserve"> 0.808 </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E23FDD">
            <w:pPr>
              <w:spacing w:after="40" w:line="360" w:lineRule="exact"/>
              <w:ind w:left="45"/>
              <w:jc w:val="right"/>
              <w:rPr>
                <w:rFonts w:ascii="Symbol" w:hAnsi="Symbol"/>
                <w:szCs w:val="24"/>
              </w:rPr>
            </w:pPr>
            <w:r>
              <w:rPr>
                <w:szCs w:val="24"/>
              </w:rPr>
              <w:t>0.0</w:t>
            </w:r>
            <w:r w:rsidR="00243D20">
              <w:rPr>
                <w:szCs w:val="24"/>
              </w:rPr>
              <w:t>799</w:t>
            </w:r>
            <w:r>
              <w:rPr>
                <w:szCs w:val="24"/>
              </w:rPr>
              <w:t xml:space="preserve">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lastRenderedPageBreak/>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7B3A0E" w:rsidP="002A04D6">
            <w:pPr>
              <w:snapToGrid w:val="0"/>
              <w:spacing w:after="40" w:line="360" w:lineRule="exact"/>
              <w:jc w:val="both"/>
              <w:rPr>
                <w:szCs w:val="24"/>
              </w:rPr>
            </w:pPr>
            <w:r>
              <w:rPr>
                <w:szCs w:val="24"/>
              </w:rPr>
              <w:t>8/16</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C5E50" w:rsidP="00062296">
            <w:pPr>
              <w:snapToGrid w:val="0"/>
              <w:spacing w:after="40" w:line="360" w:lineRule="exact"/>
              <w:jc w:val="both"/>
              <w:rPr>
                <w:szCs w:val="24"/>
              </w:rPr>
            </w:pPr>
            <w:r>
              <w:rPr>
                <w:szCs w:val="24"/>
              </w:rPr>
              <w:t>-12.00910</w:t>
            </w:r>
            <w:r w:rsidR="00D70E43">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942DA5">
              <w:rPr>
                <w:szCs w:val="24"/>
              </w:rPr>
              <w:t>0470</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 xml:space="preserve">Upon completion of tests, </w:t>
      </w:r>
      <w:r w:rsidR="00F33634">
        <w:t>inform</w:t>
      </w:r>
      <w:r w:rsidR="002C27A6">
        <w:t xml:space="preserve"> </w:t>
      </w:r>
      <w:r w:rsidR="00F33634">
        <w:t>Paul Emma</w:t>
      </w:r>
      <w:r w:rsidR="009D1466">
        <w:t xml:space="preserve"> and John Amann</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087D96"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087D96" w:rsidRDefault="00087D96" w:rsidP="00087D96">
            <w:pPr>
              <w:spacing w:after="40" w:line="360" w:lineRule="exact"/>
              <w:jc w:val="center"/>
              <w:rPr>
                <w:b/>
              </w:rPr>
            </w:pPr>
            <w:r w:rsidRPr="00087D96">
              <w:rPr>
                <w:b/>
              </w:rPr>
              <w:t>CQ12B</w:t>
            </w:r>
          </w:p>
        </w:tc>
      </w:tr>
    </w:tbl>
    <w:p w:rsidR="00F24CD9" w:rsidRPr="00727C22" w:rsidRDefault="00F24CD9" w:rsidP="009D1466">
      <w:pPr>
        <w:autoSpaceDE w:val="0"/>
        <w:autoSpaceDN w:val="0"/>
        <w:spacing w:after="120" w:line="300" w:lineRule="exact"/>
        <w:jc w:val="both"/>
        <w:rPr>
          <w:rFonts w:ascii="TimesNewRomanPSMT" w:eastAsia="Times New Roman" w:hAnsi="TimesNewRomanPSMT"/>
          <w:szCs w:val="24"/>
        </w:rPr>
      </w:pPr>
    </w:p>
    <w:p w:rsidR="003E0EAD" w:rsidRPr="00F24CD9" w:rsidRDefault="003E0EAD" w:rsidP="00F24CD9"/>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4A" w:rsidRDefault="0091644A" w:rsidP="00AF3BFD">
      <w:r>
        <w:separator/>
      </w:r>
    </w:p>
  </w:endnote>
  <w:endnote w:type="continuationSeparator" w:id="0">
    <w:p w:rsidR="0091644A" w:rsidRDefault="0091644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966BB">
          <w:rPr>
            <w:noProof/>
          </w:rPr>
          <w:t>2</w:t>
        </w:r>
        <w:r w:rsidR="002112D7">
          <w:rPr>
            <w:noProof/>
          </w:rPr>
          <w:fldChar w:fldCharType="end"/>
        </w:r>
        <w:r w:rsidRPr="00006E07">
          <w:t xml:space="preserve"> of </w:t>
        </w:r>
        <w:r w:rsidR="00087D96">
          <w:rPr>
            <w:noProof/>
          </w:rPr>
          <w:fldChar w:fldCharType="begin"/>
        </w:r>
        <w:r w:rsidR="00087D96">
          <w:rPr>
            <w:noProof/>
          </w:rPr>
          <w:instrText xml:space="preserve"> NUMPAGES  </w:instrText>
        </w:r>
        <w:r w:rsidR="00087D96">
          <w:rPr>
            <w:noProof/>
          </w:rPr>
          <w:fldChar w:fldCharType="separate"/>
        </w:r>
        <w:r w:rsidR="005966BB">
          <w:rPr>
            <w:noProof/>
          </w:rPr>
          <w:t>5</w:t>
        </w:r>
        <w:r w:rsidR="00087D9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966BB">
          <w:rPr>
            <w:noProof/>
          </w:rPr>
          <w:t>1</w:t>
        </w:r>
        <w:r w:rsidR="002112D7">
          <w:rPr>
            <w:noProof/>
          </w:rPr>
          <w:fldChar w:fldCharType="end"/>
        </w:r>
        <w:r w:rsidRPr="00006E07">
          <w:t xml:space="preserve"> of </w:t>
        </w:r>
        <w:r w:rsidR="00087D96">
          <w:rPr>
            <w:noProof/>
          </w:rPr>
          <w:fldChar w:fldCharType="begin"/>
        </w:r>
        <w:r w:rsidR="00087D96">
          <w:rPr>
            <w:noProof/>
          </w:rPr>
          <w:instrText xml:space="preserve"> NUMPAGES  </w:instrText>
        </w:r>
        <w:r w:rsidR="00087D96">
          <w:rPr>
            <w:noProof/>
          </w:rPr>
          <w:fldChar w:fldCharType="separate"/>
        </w:r>
        <w:r w:rsidR="005966BB">
          <w:rPr>
            <w:noProof/>
          </w:rPr>
          <w:t>5</w:t>
        </w:r>
        <w:r w:rsidR="00087D9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4A" w:rsidRDefault="0091644A" w:rsidP="00AF3BFD">
      <w:r>
        <w:separator/>
      </w:r>
    </w:p>
  </w:footnote>
  <w:footnote w:type="continuationSeparator" w:id="0">
    <w:p w:rsidR="0091644A" w:rsidRDefault="0091644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87D96"/>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3D20"/>
    <w:rsid w:val="002461F7"/>
    <w:rsid w:val="00260807"/>
    <w:rsid w:val="00266F38"/>
    <w:rsid w:val="00276684"/>
    <w:rsid w:val="002906D4"/>
    <w:rsid w:val="00293550"/>
    <w:rsid w:val="00295A17"/>
    <w:rsid w:val="002A04D6"/>
    <w:rsid w:val="002A0559"/>
    <w:rsid w:val="002A63AC"/>
    <w:rsid w:val="002A7416"/>
    <w:rsid w:val="002B3EAE"/>
    <w:rsid w:val="002B6540"/>
    <w:rsid w:val="002C27A6"/>
    <w:rsid w:val="002C5E50"/>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42FF"/>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40404"/>
    <w:rsid w:val="00456274"/>
    <w:rsid w:val="00456989"/>
    <w:rsid w:val="00457FB1"/>
    <w:rsid w:val="00460AA5"/>
    <w:rsid w:val="00462AAC"/>
    <w:rsid w:val="00466E49"/>
    <w:rsid w:val="00480291"/>
    <w:rsid w:val="004809CC"/>
    <w:rsid w:val="00492742"/>
    <w:rsid w:val="004A0288"/>
    <w:rsid w:val="004B7B43"/>
    <w:rsid w:val="004D04A5"/>
    <w:rsid w:val="004D06FF"/>
    <w:rsid w:val="004D6594"/>
    <w:rsid w:val="004D6674"/>
    <w:rsid w:val="004D6832"/>
    <w:rsid w:val="004D6DAB"/>
    <w:rsid w:val="004E3EAF"/>
    <w:rsid w:val="004F28F3"/>
    <w:rsid w:val="004F3915"/>
    <w:rsid w:val="0052671B"/>
    <w:rsid w:val="005313A4"/>
    <w:rsid w:val="0054312C"/>
    <w:rsid w:val="005733B9"/>
    <w:rsid w:val="005752F1"/>
    <w:rsid w:val="00577E41"/>
    <w:rsid w:val="005824A7"/>
    <w:rsid w:val="005931BF"/>
    <w:rsid w:val="005955BC"/>
    <w:rsid w:val="005966BB"/>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1845"/>
    <w:rsid w:val="00653283"/>
    <w:rsid w:val="00655B72"/>
    <w:rsid w:val="006566C3"/>
    <w:rsid w:val="00656AFF"/>
    <w:rsid w:val="00656C5D"/>
    <w:rsid w:val="0066082F"/>
    <w:rsid w:val="00661F4B"/>
    <w:rsid w:val="00662698"/>
    <w:rsid w:val="00666405"/>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215B5"/>
    <w:rsid w:val="00736F24"/>
    <w:rsid w:val="007427AE"/>
    <w:rsid w:val="00746962"/>
    <w:rsid w:val="00757270"/>
    <w:rsid w:val="007726A7"/>
    <w:rsid w:val="00772894"/>
    <w:rsid w:val="00773C77"/>
    <w:rsid w:val="00776FEF"/>
    <w:rsid w:val="00782E2B"/>
    <w:rsid w:val="0078459A"/>
    <w:rsid w:val="007A7515"/>
    <w:rsid w:val="007B3A0E"/>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52B58"/>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1497C"/>
    <w:rsid w:val="0091644A"/>
    <w:rsid w:val="009209E5"/>
    <w:rsid w:val="00921837"/>
    <w:rsid w:val="00930073"/>
    <w:rsid w:val="009336B0"/>
    <w:rsid w:val="009355CD"/>
    <w:rsid w:val="00942DA5"/>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146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5464"/>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23FDD"/>
    <w:rsid w:val="00E40A85"/>
    <w:rsid w:val="00E4525B"/>
    <w:rsid w:val="00E47C5B"/>
    <w:rsid w:val="00E5247B"/>
    <w:rsid w:val="00E60FD6"/>
    <w:rsid w:val="00E70015"/>
    <w:rsid w:val="00E8162B"/>
    <w:rsid w:val="00E81D78"/>
    <w:rsid w:val="00E81EE0"/>
    <w:rsid w:val="00E8449C"/>
    <w:rsid w:val="00E84642"/>
    <w:rsid w:val="00E84703"/>
    <w:rsid w:val="00E869E7"/>
    <w:rsid w:val="00E943C8"/>
    <w:rsid w:val="00EA6E98"/>
    <w:rsid w:val="00EC1454"/>
    <w:rsid w:val="00EC68C0"/>
    <w:rsid w:val="00ED1D1C"/>
    <w:rsid w:val="00ED4D5C"/>
    <w:rsid w:val="00ED6164"/>
    <w:rsid w:val="00EF775C"/>
    <w:rsid w:val="00F10F18"/>
    <w:rsid w:val="00F1452F"/>
    <w:rsid w:val="00F151FF"/>
    <w:rsid w:val="00F21125"/>
    <w:rsid w:val="00F23D48"/>
    <w:rsid w:val="00F24CD9"/>
    <w:rsid w:val="00F27ADA"/>
    <w:rsid w:val="00F3343A"/>
    <w:rsid w:val="00F33634"/>
    <w:rsid w:val="00F403A8"/>
    <w:rsid w:val="00F42656"/>
    <w:rsid w:val="00F45382"/>
    <w:rsid w:val="00F457BF"/>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08FE0-CE7A-4320-B1BA-2A5BE28B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4B5EAABD-F435-40DE-91D9-F8A7DA40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570</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44</cp:revision>
  <cp:lastPrinted>2020-04-21T17:04:00Z</cp:lastPrinted>
  <dcterms:created xsi:type="dcterms:W3CDTF">2016-05-13T17:19:00Z</dcterms:created>
  <dcterms:modified xsi:type="dcterms:W3CDTF">2020-04-21T17:04:00Z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