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693559" w:rsidP="007C65DB">
            <w:pPr>
              <w:spacing w:after="40" w:line="360" w:lineRule="exact"/>
              <w:jc w:val="center"/>
              <w:rPr>
                <w:szCs w:val="24"/>
              </w:rPr>
            </w:pPr>
            <w:r>
              <w:rPr>
                <w:szCs w:val="24"/>
              </w:rPr>
              <w:t>8/2</w:t>
            </w:r>
            <w:r w:rsidR="00F915B0">
              <w:rPr>
                <w:szCs w:val="24"/>
              </w:rPr>
              <w:t>9</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693559" w:rsidP="007C65DB">
            <w:pPr>
              <w:spacing w:after="40" w:line="360" w:lineRule="exact"/>
              <w:jc w:val="center"/>
              <w:rPr>
                <w:szCs w:val="24"/>
              </w:rPr>
            </w:pPr>
            <w:r>
              <w:rPr>
                <w:szCs w:val="24"/>
              </w:rPr>
              <w:t>4074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447B52" w:rsidP="007C65DB">
            <w:pPr>
              <w:spacing w:after="40" w:line="360" w:lineRule="exact"/>
              <w:jc w:val="center"/>
              <w:rPr>
                <w:szCs w:val="24"/>
              </w:rPr>
            </w:pPr>
            <w:r>
              <w:rPr>
                <w:szCs w:val="24"/>
              </w:rPr>
              <w:t>009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693559">
              <w:rPr>
                <w:sz w:val="18"/>
                <w:szCs w:val="18"/>
              </w:rPr>
              <w:t>4074</w:t>
            </w:r>
            <w:r w:rsidR="00A138FD">
              <w:rPr>
                <w:sz w:val="18"/>
                <w:szCs w:val="18"/>
              </w:rPr>
              <w:t>/</w:t>
            </w:r>
            <w:r w:rsidR="00693559">
              <w:rPr>
                <w:sz w:val="18"/>
                <w:szCs w:val="18"/>
              </w:rPr>
              <w:t>4074</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693559">
              <w:rPr>
                <w:sz w:val="18"/>
                <w:szCs w:val="18"/>
              </w:rPr>
              <w:t>4074</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2D0D45" w:rsidP="00E16E07">
            <w:pPr>
              <w:spacing w:after="40" w:line="360" w:lineRule="exact"/>
              <w:jc w:val="right"/>
              <w:rPr>
                <w:szCs w:val="24"/>
              </w:rPr>
            </w:pPr>
            <w:r>
              <w:rPr>
                <w:szCs w:val="24"/>
              </w:rPr>
              <w:t>52.8</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2D0D4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2D0D45" w:rsidP="00D91CC7">
            <w:pPr>
              <w:spacing w:after="40" w:line="360" w:lineRule="exact"/>
              <w:jc w:val="right"/>
              <w:rPr>
                <w:szCs w:val="24"/>
              </w:rPr>
            </w:pPr>
            <w:r>
              <w:rPr>
                <w:szCs w:val="24"/>
              </w:rPr>
              <w:t xml:space="preserve"> 2.31</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2D0D4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2D0D45" w:rsidP="007C65DB">
            <w:pPr>
              <w:spacing w:after="40" w:line="360" w:lineRule="exact"/>
              <w:jc w:val="right"/>
              <w:rPr>
                <w:szCs w:val="24"/>
              </w:rPr>
            </w:pPr>
            <w:r>
              <w:rPr>
                <w:szCs w:val="24"/>
              </w:rPr>
              <w:t>2.28</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2D0D45"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AC7C7A" w:rsidP="003E2900">
            <w:pPr>
              <w:spacing w:after="40" w:line="360" w:lineRule="exact"/>
              <w:jc w:val="right"/>
            </w:pPr>
            <w:r>
              <w:t>26.4</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AC7C7A" w:rsidP="007C65DB">
            <w:pPr>
              <w:spacing w:after="40" w:line="360" w:lineRule="exact"/>
              <w:jc w:val="right"/>
            </w:pPr>
            <w:r>
              <w:t>30.0</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AC7C7A" w:rsidP="007C65DB">
            <w:pPr>
              <w:spacing w:after="40" w:line="360" w:lineRule="exact"/>
              <w:jc w:val="right"/>
            </w:pPr>
            <w:r>
              <w:t>33.8</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B6476" w:rsidP="007C65DB">
            <w:pPr>
              <w:spacing w:after="40" w:line="360" w:lineRule="exact"/>
              <w:jc w:val="right"/>
            </w:pPr>
            <w:r>
              <w:t>26.6</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B6476" w:rsidP="007C65DB">
            <w:pPr>
              <w:spacing w:after="40" w:line="360" w:lineRule="exact"/>
              <w:jc w:val="right"/>
            </w:pPr>
            <w:r>
              <w:t>28.3</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B6476" w:rsidP="005200AE">
            <w:pPr>
              <w:spacing w:after="40" w:line="360" w:lineRule="exact"/>
              <w:jc w:val="right"/>
            </w:pPr>
            <w:r>
              <w:t>71.0</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3B6476">
              <w:t>86.0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3B6476">
              <w:t>-165.1</w:t>
            </w:r>
            <w:r>
              <w:t xml:space="preserve"> </w:t>
            </w:r>
            <w:r w:rsidR="003A3DE9" w:rsidRPr="00B67DD8">
              <w:t>µ</w:t>
            </w:r>
            <w:r w:rsidR="003A3DE9">
              <w:t>m</w:t>
            </w:r>
          </w:p>
        </w:tc>
        <w:tc>
          <w:tcPr>
            <w:tcW w:w="1238" w:type="dxa"/>
          </w:tcPr>
          <w:p w:rsidR="003A3DE9" w:rsidRDefault="003B6476" w:rsidP="003B6476">
            <w:pPr>
              <w:spacing w:after="40" w:line="360" w:lineRule="exact"/>
              <w:jc w:val="right"/>
            </w:pPr>
            <w:r>
              <w:t>-122.2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B6476" w:rsidP="005200AE">
            <w:pPr>
              <w:spacing w:after="40" w:line="360" w:lineRule="exact"/>
              <w:jc w:val="right"/>
            </w:pPr>
            <w:r>
              <w:t>-144.4</w:t>
            </w:r>
            <w:r w:rsidR="003A3DE9" w:rsidRPr="00B67DD8">
              <w:t>µ</w:t>
            </w:r>
            <w:r w:rsidR="003A3DE9">
              <w:t>m</w:t>
            </w:r>
          </w:p>
        </w:tc>
        <w:tc>
          <w:tcPr>
            <w:tcW w:w="1238" w:type="dxa"/>
          </w:tcPr>
          <w:p w:rsidR="003A3DE9" w:rsidRDefault="003B6476" w:rsidP="007C65DB">
            <w:pPr>
              <w:spacing w:after="40" w:line="360" w:lineRule="exact"/>
              <w:jc w:val="right"/>
            </w:pPr>
            <w:r>
              <w:t>312.8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B6476" w:rsidP="007C65DB">
            <w:pPr>
              <w:spacing w:after="40" w:line="360" w:lineRule="exact"/>
              <w:jc w:val="right"/>
            </w:pPr>
            <w:r>
              <w:t>297.9</w:t>
            </w:r>
            <w:r w:rsidR="003A3DE9" w:rsidRPr="00B67DD8">
              <w:t>µ</w:t>
            </w:r>
            <w:r w:rsidR="003A3DE9">
              <w:t>m</w:t>
            </w:r>
          </w:p>
        </w:tc>
        <w:tc>
          <w:tcPr>
            <w:tcW w:w="1238" w:type="dxa"/>
          </w:tcPr>
          <w:p w:rsidR="003A3DE9" w:rsidRDefault="003B6476" w:rsidP="007C65DB">
            <w:pPr>
              <w:spacing w:after="40" w:line="360" w:lineRule="exact"/>
              <w:jc w:val="right"/>
            </w:pPr>
            <w:r>
              <w:t>295.5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B6476" w:rsidP="007C65DB">
            <w:pPr>
              <w:spacing w:after="40" w:line="360" w:lineRule="exact"/>
              <w:jc w:val="right"/>
            </w:pPr>
            <w:r>
              <w:t>279.5</w:t>
            </w:r>
            <w:r w:rsidR="003A3DE9" w:rsidRPr="00B67DD8">
              <w:t>µ</w:t>
            </w:r>
            <w:r w:rsidR="003A3DE9">
              <w:t>m</w:t>
            </w:r>
          </w:p>
        </w:tc>
        <w:tc>
          <w:tcPr>
            <w:tcW w:w="1238" w:type="dxa"/>
          </w:tcPr>
          <w:p w:rsidR="003A3DE9" w:rsidRDefault="003B6476" w:rsidP="007C65DB">
            <w:pPr>
              <w:spacing w:after="40" w:line="360" w:lineRule="exact"/>
              <w:jc w:val="right"/>
            </w:pPr>
            <w:r>
              <w:t>-141.0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B6476" w:rsidP="007C65DB">
            <w:pPr>
              <w:spacing w:after="40" w:line="360" w:lineRule="exact"/>
              <w:jc w:val="right"/>
            </w:pPr>
            <w:r>
              <w:t>71.5</w:t>
            </w:r>
            <w:r w:rsidR="003A3DE9" w:rsidRPr="00B67DD8">
              <w:t>µ</w:t>
            </w:r>
            <w:r w:rsidR="003A3DE9">
              <w:t>m</w:t>
            </w:r>
          </w:p>
        </w:tc>
        <w:tc>
          <w:tcPr>
            <w:tcW w:w="1238" w:type="dxa"/>
          </w:tcPr>
          <w:p w:rsidR="003A3DE9" w:rsidRDefault="003B6476" w:rsidP="005200AE">
            <w:pPr>
              <w:spacing w:after="40" w:line="360" w:lineRule="exact"/>
              <w:jc w:val="right"/>
            </w:pPr>
            <w:r>
              <w:t>83.7</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DA4C8F" w:rsidP="00270692">
            <w:pPr>
              <w:spacing w:after="40" w:line="360" w:lineRule="exact"/>
              <w:jc w:val="right"/>
            </w:pPr>
            <w:r>
              <w:t>68.8</w:t>
            </w:r>
            <w:r w:rsidR="008558AD" w:rsidRPr="00B67DD8">
              <w:t>µ</w:t>
            </w:r>
            <w:r w:rsidR="008558AD">
              <w:t>m</w:t>
            </w:r>
          </w:p>
        </w:tc>
        <w:tc>
          <w:tcPr>
            <w:tcW w:w="1238" w:type="dxa"/>
          </w:tcPr>
          <w:p w:rsidR="008558AD" w:rsidRDefault="00DA4C8F" w:rsidP="00270692">
            <w:pPr>
              <w:spacing w:after="40" w:line="360" w:lineRule="exact"/>
              <w:jc w:val="right"/>
            </w:pPr>
            <w:r>
              <w:t>83.5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DA4C8F" w:rsidP="00270692">
            <w:pPr>
              <w:spacing w:after="40" w:line="360" w:lineRule="exact"/>
              <w:jc w:val="right"/>
            </w:pPr>
            <w:r>
              <w:t>-48.8</w:t>
            </w:r>
            <w:r w:rsidR="008558AD" w:rsidRPr="00B67DD8">
              <w:t>µ</w:t>
            </w:r>
            <w:r w:rsidR="008558AD">
              <w:t>m</w:t>
            </w:r>
          </w:p>
        </w:tc>
        <w:tc>
          <w:tcPr>
            <w:tcW w:w="1238" w:type="dxa"/>
          </w:tcPr>
          <w:p w:rsidR="008558AD" w:rsidRDefault="00DA4C8F" w:rsidP="00270692">
            <w:pPr>
              <w:spacing w:after="40" w:line="360" w:lineRule="exact"/>
              <w:jc w:val="right"/>
            </w:pPr>
            <w:r>
              <w:t>-21.1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DA4C8F" w:rsidP="00270692">
            <w:pPr>
              <w:spacing w:after="40" w:line="360" w:lineRule="exact"/>
              <w:jc w:val="right"/>
            </w:pPr>
            <w:r>
              <w:t>-38.5</w:t>
            </w:r>
            <w:r w:rsidR="00351EE7">
              <w:t xml:space="preserve"> </w:t>
            </w:r>
            <w:r w:rsidR="008558AD" w:rsidRPr="00B67DD8">
              <w:t>µ</w:t>
            </w:r>
            <w:r w:rsidR="008558AD">
              <w:t>m</w:t>
            </w:r>
          </w:p>
        </w:tc>
        <w:tc>
          <w:tcPr>
            <w:tcW w:w="1238" w:type="dxa"/>
          </w:tcPr>
          <w:p w:rsidR="008558AD" w:rsidRDefault="00DA4C8F" w:rsidP="00270692">
            <w:pPr>
              <w:spacing w:after="40" w:line="360" w:lineRule="exact"/>
              <w:jc w:val="right"/>
            </w:pPr>
            <w:r>
              <w:t>196.1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DA4C8F" w:rsidP="00270692">
            <w:pPr>
              <w:spacing w:after="40" w:line="360" w:lineRule="exact"/>
              <w:jc w:val="right"/>
            </w:pPr>
            <w:r>
              <w:t>182.0</w:t>
            </w:r>
            <w:r w:rsidR="00351EE7">
              <w:t xml:space="preserve"> </w:t>
            </w:r>
            <w:r w:rsidR="008558AD" w:rsidRPr="00B67DD8">
              <w:t>µ</w:t>
            </w:r>
            <w:r w:rsidR="008558AD">
              <w:t>m</w:t>
            </w:r>
          </w:p>
        </w:tc>
        <w:tc>
          <w:tcPr>
            <w:tcW w:w="1238" w:type="dxa"/>
          </w:tcPr>
          <w:p w:rsidR="008558AD" w:rsidRDefault="00DA4C8F" w:rsidP="00270692">
            <w:pPr>
              <w:spacing w:after="40" w:line="360" w:lineRule="exact"/>
              <w:jc w:val="right"/>
            </w:pPr>
            <w:r>
              <w:t>186.4</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DA4C8F" w:rsidP="00270692">
            <w:pPr>
              <w:spacing w:after="40" w:line="360" w:lineRule="exact"/>
              <w:jc w:val="right"/>
            </w:pPr>
            <w:r>
              <w:t>172.3</w:t>
            </w:r>
            <w:r w:rsidR="008558AD" w:rsidRPr="00B67DD8">
              <w:t>µ</w:t>
            </w:r>
            <w:r w:rsidR="008558AD">
              <w:t>m</w:t>
            </w:r>
          </w:p>
        </w:tc>
        <w:tc>
          <w:tcPr>
            <w:tcW w:w="1238" w:type="dxa"/>
          </w:tcPr>
          <w:p w:rsidR="008558AD" w:rsidRDefault="00DA4C8F" w:rsidP="003A33B2">
            <w:pPr>
              <w:spacing w:after="40" w:line="360" w:lineRule="exact"/>
              <w:jc w:val="right"/>
            </w:pPr>
            <w:r>
              <w:t>-30.6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DA4C8F" w:rsidP="00270692">
            <w:pPr>
              <w:spacing w:after="40" w:line="360" w:lineRule="exact"/>
              <w:jc w:val="right"/>
            </w:pPr>
            <w:r>
              <w:t>68.8</w:t>
            </w:r>
            <w:r w:rsidR="008558AD" w:rsidRPr="00B67DD8">
              <w:t>µ</w:t>
            </w:r>
            <w:r w:rsidR="008558AD">
              <w:t>m</w:t>
            </w:r>
          </w:p>
        </w:tc>
        <w:tc>
          <w:tcPr>
            <w:tcW w:w="1238" w:type="dxa"/>
          </w:tcPr>
          <w:p w:rsidR="008558AD" w:rsidRDefault="00DA4C8F" w:rsidP="003A33B2">
            <w:pPr>
              <w:spacing w:after="40" w:line="360" w:lineRule="exact"/>
              <w:jc w:val="right"/>
            </w:pPr>
            <w:r>
              <w:t>80.8</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A0383B" w:rsidP="00202C93">
            <w:pPr>
              <w:spacing w:after="40" w:line="360" w:lineRule="exact"/>
              <w:jc w:val="right"/>
            </w:pPr>
            <w:r>
              <w:t>-50.3</w:t>
            </w:r>
            <w:r w:rsidR="00202C93">
              <w:t xml:space="preserve"> </w:t>
            </w:r>
            <w:r w:rsidR="003A3DE9" w:rsidRPr="00B67DD8">
              <w:t>µ</w:t>
            </w:r>
            <w:r w:rsidR="003A3DE9">
              <w:t>m</w:t>
            </w:r>
          </w:p>
        </w:tc>
        <w:tc>
          <w:tcPr>
            <w:tcW w:w="1238" w:type="dxa"/>
          </w:tcPr>
          <w:p w:rsidR="003A3DE9" w:rsidRDefault="00A0383B" w:rsidP="007C65DB">
            <w:pPr>
              <w:spacing w:after="40" w:line="360" w:lineRule="exact"/>
              <w:jc w:val="right"/>
            </w:pPr>
            <w:r>
              <w:t>-23.3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A0383B" w:rsidP="00652D62">
            <w:pPr>
              <w:spacing w:after="40" w:line="360" w:lineRule="exact"/>
              <w:jc w:val="right"/>
            </w:pPr>
            <w:r>
              <w:t>-73.5</w:t>
            </w:r>
            <w:r w:rsidR="00652D62">
              <w:t xml:space="preserve"> </w:t>
            </w:r>
            <w:r w:rsidR="003A3DE9" w:rsidRPr="00B67DD8">
              <w:t>µ</w:t>
            </w:r>
            <w:r w:rsidR="003A3DE9">
              <w:t>m</w:t>
            </w:r>
          </w:p>
        </w:tc>
        <w:tc>
          <w:tcPr>
            <w:tcW w:w="1238" w:type="dxa"/>
          </w:tcPr>
          <w:p w:rsidR="003A3DE9" w:rsidRDefault="00A0383B" w:rsidP="007C65DB">
            <w:pPr>
              <w:spacing w:after="40" w:line="360" w:lineRule="exact"/>
              <w:jc w:val="right"/>
            </w:pPr>
            <w:r>
              <w:t>-45.0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A0383B" w:rsidP="00652D62">
            <w:pPr>
              <w:spacing w:after="40" w:line="360" w:lineRule="exact"/>
              <w:jc w:val="right"/>
            </w:pPr>
            <w:r>
              <w:t>-71.5</w:t>
            </w:r>
            <w:r w:rsidR="003A3DE9" w:rsidRPr="00B67DD8">
              <w:t>µ</w:t>
            </w:r>
            <w:r w:rsidR="003A3DE9">
              <w:t>m</w:t>
            </w:r>
          </w:p>
        </w:tc>
        <w:tc>
          <w:tcPr>
            <w:tcW w:w="1238" w:type="dxa"/>
          </w:tcPr>
          <w:p w:rsidR="003A3DE9" w:rsidRDefault="00A0383B" w:rsidP="007C65DB">
            <w:pPr>
              <w:spacing w:after="40" w:line="360" w:lineRule="exact"/>
              <w:jc w:val="right"/>
            </w:pPr>
            <w:r>
              <w:t>-1.9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A0383B">
              <w:t>-28.6</w:t>
            </w:r>
            <w:r w:rsidR="003A3DE9" w:rsidRPr="00B67DD8">
              <w:t>µ</w:t>
            </w:r>
            <w:r w:rsidR="003A3DE9">
              <w:t>m</w:t>
            </w:r>
          </w:p>
        </w:tc>
        <w:tc>
          <w:tcPr>
            <w:tcW w:w="1238" w:type="dxa"/>
          </w:tcPr>
          <w:p w:rsidR="003A3DE9" w:rsidRDefault="00A0383B" w:rsidP="007C65DB">
            <w:pPr>
              <w:spacing w:after="40" w:line="360" w:lineRule="exact"/>
              <w:jc w:val="right"/>
            </w:pPr>
            <w:r>
              <w:t>-4.0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A0383B">
              <w:t>-30.7</w:t>
            </w:r>
            <w:r w:rsidR="003A3DE9" w:rsidRPr="00B67DD8">
              <w:t>µ</w:t>
            </w:r>
            <w:r w:rsidR="003A3DE9">
              <w:t>m</w:t>
            </w:r>
          </w:p>
        </w:tc>
        <w:tc>
          <w:tcPr>
            <w:tcW w:w="1238" w:type="dxa"/>
          </w:tcPr>
          <w:p w:rsidR="003A3DE9" w:rsidRDefault="00A0383B" w:rsidP="00202C93">
            <w:pPr>
              <w:spacing w:after="40" w:line="360" w:lineRule="exact"/>
              <w:jc w:val="right"/>
            </w:pPr>
            <w:r>
              <w:t>-47.1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A0383B">
              <w:t>-51.2</w:t>
            </w:r>
            <w:r w:rsidR="003A3DE9" w:rsidRPr="00B67DD8">
              <w:t>µ</w:t>
            </w:r>
            <w:r w:rsidR="003A3DE9">
              <w:t>m</w:t>
            </w:r>
          </w:p>
        </w:tc>
        <w:tc>
          <w:tcPr>
            <w:tcW w:w="1238" w:type="dxa"/>
          </w:tcPr>
          <w:p w:rsidR="003A3DE9" w:rsidRDefault="00A0383B" w:rsidP="007C65DB">
            <w:pPr>
              <w:spacing w:after="40" w:line="360" w:lineRule="exact"/>
              <w:jc w:val="right"/>
            </w:pPr>
            <w:r>
              <w:t>-25.3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AB516C">
              <w:t>066</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AB516C">
              <w:t>115</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AB516C">
              <w:t>187</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AB516C">
              <w:t>095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AB516C">
              <w:t>195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AB516C">
              <w:t>133</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AB516C">
              <w:t>215</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AB516C">
              <w:t>262</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AB516C">
              <w:t>199</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E76BAE">
            <w:pPr>
              <w:spacing w:after="40" w:line="360" w:lineRule="exact"/>
              <w:jc w:val="both"/>
              <w:rPr>
                <w:szCs w:val="24"/>
              </w:rPr>
            </w:pPr>
            <w:bookmarkStart w:id="1" w:name="_GoBack" w:colFirst="1" w:colLast="1"/>
            <w:r>
              <w:rPr>
                <w:szCs w:val="24"/>
              </w:rPr>
              <w:t xml:space="preserve">Fiducialization </w:t>
            </w:r>
            <w:r w:rsidR="00E76BAE">
              <w:rPr>
                <w:szCs w:val="24"/>
              </w:rPr>
              <w:t>complete</w:t>
            </w:r>
            <w:r>
              <w:rPr>
                <w:szCs w:val="24"/>
              </w:rPr>
              <w:t>:</w:t>
            </w:r>
          </w:p>
        </w:tc>
        <w:tc>
          <w:tcPr>
            <w:tcW w:w="5049" w:type="dxa"/>
          </w:tcPr>
          <w:p w:rsidR="003A3DE9" w:rsidRPr="0003679C" w:rsidRDefault="00E76BAE" w:rsidP="00E76BAE">
            <w:pPr>
              <w:tabs>
                <w:tab w:val="left" w:pos="1176"/>
              </w:tabs>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E76BAE" w:rsidP="00E76BAE">
            <w:pPr>
              <w:spacing w:after="40" w:line="360" w:lineRule="exact"/>
              <w:jc w:val="center"/>
              <w:rPr>
                <w:szCs w:val="24"/>
              </w:rPr>
            </w:pPr>
            <w:r w:rsidRPr="00E76BAE">
              <w:rPr>
                <w:szCs w:val="24"/>
              </w:rPr>
              <w:t>Quad 4074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CA" w:rsidRDefault="00742FCA" w:rsidP="00AF3BFD">
      <w:r>
        <w:separator/>
      </w:r>
    </w:p>
  </w:endnote>
  <w:endnote w:type="continuationSeparator" w:id="0">
    <w:p w:rsidR="00742FCA" w:rsidRDefault="00742FC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76BAE">
          <w:rPr>
            <w:noProof/>
          </w:rPr>
          <w:t>9</w:t>
        </w:r>
        <w:r w:rsidR="002112D7">
          <w:rPr>
            <w:noProof/>
          </w:rPr>
          <w:fldChar w:fldCharType="end"/>
        </w:r>
        <w:r w:rsidRPr="00006E07">
          <w:t xml:space="preserve"> of </w:t>
        </w:r>
        <w:r w:rsidR="00742FCA">
          <w:fldChar w:fldCharType="begin"/>
        </w:r>
        <w:r w:rsidR="00742FCA">
          <w:instrText xml:space="preserve"> NUMPAGES  </w:instrText>
        </w:r>
        <w:r w:rsidR="00742FCA">
          <w:fldChar w:fldCharType="separate"/>
        </w:r>
        <w:r w:rsidR="00E76BAE">
          <w:rPr>
            <w:noProof/>
          </w:rPr>
          <w:t>9</w:t>
        </w:r>
        <w:r w:rsidR="00742FC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76BAE">
          <w:rPr>
            <w:noProof/>
          </w:rPr>
          <w:t>1</w:t>
        </w:r>
        <w:r w:rsidR="002112D7">
          <w:rPr>
            <w:noProof/>
          </w:rPr>
          <w:fldChar w:fldCharType="end"/>
        </w:r>
        <w:r w:rsidRPr="00006E07">
          <w:t xml:space="preserve"> of </w:t>
        </w:r>
        <w:r w:rsidR="00742FCA">
          <w:fldChar w:fldCharType="begin"/>
        </w:r>
        <w:r w:rsidR="00742FCA">
          <w:instrText xml:space="preserve"> NUMPAGES  </w:instrText>
        </w:r>
        <w:r w:rsidR="00742FCA">
          <w:fldChar w:fldCharType="separate"/>
        </w:r>
        <w:r w:rsidR="00E76BAE">
          <w:rPr>
            <w:noProof/>
          </w:rPr>
          <w:t>9</w:t>
        </w:r>
        <w:r w:rsidR="00742FC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CA" w:rsidRDefault="00742FCA" w:rsidP="00AF3BFD">
      <w:r>
        <w:separator/>
      </w:r>
    </w:p>
  </w:footnote>
  <w:footnote w:type="continuationSeparator" w:id="0">
    <w:p w:rsidR="00742FCA" w:rsidRDefault="00742FC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75C2A"/>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0D45"/>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B6476"/>
    <w:rsid w:val="003D289E"/>
    <w:rsid w:val="003D44E3"/>
    <w:rsid w:val="003E0EAD"/>
    <w:rsid w:val="003E2900"/>
    <w:rsid w:val="003E2CEC"/>
    <w:rsid w:val="003E56BF"/>
    <w:rsid w:val="003E60A6"/>
    <w:rsid w:val="00400813"/>
    <w:rsid w:val="00402419"/>
    <w:rsid w:val="00402640"/>
    <w:rsid w:val="00422AC8"/>
    <w:rsid w:val="0043034E"/>
    <w:rsid w:val="00447B52"/>
    <w:rsid w:val="00456274"/>
    <w:rsid w:val="00456989"/>
    <w:rsid w:val="00457FB1"/>
    <w:rsid w:val="00460AA5"/>
    <w:rsid w:val="00462AAC"/>
    <w:rsid w:val="00466E49"/>
    <w:rsid w:val="00480291"/>
    <w:rsid w:val="004809CC"/>
    <w:rsid w:val="00483A6D"/>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3559"/>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2FCA"/>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0859"/>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383B"/>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16C"/>
    <w:rsid w:val="00AB5ABB"/>
    <w:rsid w:val="00AC7C7A"/>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33127"/>
    <w:rsid w:val="00D449C2"/>
    <w:rsid w:val="00D46EAE"/>
    <w:rsid w:val="00D54C32"/>
    <w:rsid w:val="00D63FB2"/>
    <w:rsid w:val="00D64411"/>
    <w:rsid w:val="00D85AA0"/>
    <w:rsid w:val="00D91CC7"/>
    <w:rsid w:val="00D91ED2"/>
    <w:rsid w:val="00D935D6"/>
    <w:rsid w:val="00DA4C8F"/>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76BAE"/>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664AC"/>
  <w15:docId w15:val="{F53F63F4-AE53-4369-94E4-EB30BF29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F0601CF2-ACAB-4FD3-AE49-72AC75A3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103</TotalTime>
  <Pages>1</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