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8B1D0A">
      <w:pPr>
        <w:pStyle w:val="Heading2"/>
        <w:numPr>
          <w:ilvl w:val="0"/>
          <w:numId w:val="0"/>
        </w:numP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3E619B" w:rsidP="0025400A">
            <w:pPr>
              <w:spacing w:after="40" w:line="360" w:lineRule="exact"/>
              <w:jc w:val="center"/>
              <w:rPr>
                <w:szCs w:val="24"/>
              </w:rPr>
            </w:pPr>
            <w:r>
              <w:rPr>
                <w:szCs w:val="24"/>
              </w:rPr>
              <w:t>10/</w:t>
            </w:r>
            <w:r w:rsidR="0025400A">
              <w:rPr>
                <w:szCs w:val="24"/>
              </w:rPr>
              <w:t>31</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3E619B" w:rsidP="00242991">
            <w:pPr>
              <w:spacing w:after="40" w:line="360" w:lineRule="exact"/>
              <w:jc w:val="center"/>
              <w:rPr>
                <w:szCs w:val="24"/>
              </w:rPr>
            </w:pPr>
            <w:r>
              <w:rPr>
                <w:szCs w:val="24"/>
              </w:rPr>
              <w:t>4554</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A15369" w:rsidP="00242991">
            <w:pPr>
              <w:spacing w:after="40" w:line="360" w:lineRule="exact"/>
              <w:jc w:val="center"/>
              <w:rPr>
                <w:szCs w:val="24"/>
              </w:rPr>
            </w:pPr>
            <w:r>
              <w:rPr>
                <w:szCs w:val="24"/>
              </w:rPr>
              <w:t>15</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4E55A9" w:rsidP="00742364">
            <w:pPr>
              <w:spacing w:after="40" w:line="360" w:lineRule="exact"/>
              <w:jc w:val="both"/>
            </w:pPr>
            <w:r>
              <w:t>10/10/2018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3E619B">
              <w:rPr>
                <w:sz w:val="18"/>
                <w:szCs w:val="18"/>
              </w:rPr>
              <w:t>4554</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3E619B" w:rsidP="00742364">
            <w:pPr>
              <w:spacing w:after="40" w:line="360" w:lineRule="exact"/>
              <w:jc w:val="both"/>
              <w:rPr>
                <w:b/>
                <w:sz w:val="24"/>
                <w:szCs w:val="24"/>
              </w:rPr>
            </w:pPr>
            <w:r>
              <w:t>BXSP1</w:t>
            </w:r>
            <w:r w:rsidR="00B943FE">
              <w:t>S</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335B31F7" wp14:editId="4C98A2B4">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16A6A24B" wp14:editId="11ACD4FD">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2E73BB2A" wp14:editId="28DFF826">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333FA4FE" wp14:editId="2BA98049">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703C90"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703C90" w:rsidP="00A44016">
            <w:pPr>
              <w:spacing w:after="40" w:line="360" w:lineRule="exact"/>
              <w:jc w:val="both"/>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B700A3" w:rsidP="00242991">
            <w:pPr>
              <w:spacing w:after="40" w:line="360" w:lineRule="exact"/>
              <w:jc w:val="right"/>
            </w:pPr>
            <w:r>
              <w:t xml:space="preserve">117 </w:t>
            </w:r>
            <w:bookmarkStart w:id="1" w:name="_GoBack"/>
            <w:bookmarkEnd w:id="1"/>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8B1D0A" w:rsidP="00242991">
            <w:pPr>
              <w:spacing w:after="40" w:line="360" w:lineRule="exact"/>
              <w:jc w:val="right"/>
            </w:pPr>
            <w:r>
              <w:t>2</w:t>
            </w:r>
            <w:r w:rsidR="00703C90">
              <w:t xml:space="preserve">.6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B700A3" w:rsidP="00242991">
            <w:pPr>
              <w:spacing w:after="40" w:line="360" w:lineRule="exact"/>
              <w:jc w:val="right"/>
            </w:pPr>
            <w:r>
              <w:t xml:space="preserve">2.7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B700A3" w:rsidP="00242991">
            <w:pPr>
              <w:spacing w:after="40" w:line="360" w:lineRule="exact"/>
              <w:jc w:val="right"/>
            </w:pPr>
            <w:r>
              <w:t xml:space="preserve">24.6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B700A3" w:rsidP="00242991">
            <w:pPr>
              <w:spacing w:after="40" w:line="360" w:lineRule="exact"/>
              <w:jc w:val="right"/>
            </w:pPr>
            <w:r>
              <w:t xml:space="preserve">26.4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846684"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846684"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0069B1" w:rsidP="002F55F6">
            <w:pPr>
              <w:spacing w:after="40" w:line="360" w:lineRule="exact"/>
              <w:jc w:val="right"/>
              <w:rPr>
                <w:szCs w:val="24"/>
              </w:rPr>
            </w:pPr>
            <w:r>
              <w:rPr>
                <w:szCs w:val="24"/>
              </w:rPr>
              <w:t xml:space="preserve">2.096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0069B1" w:rsidP="002F55F6">
            <w:pPr>
              <w:spacing w:after="40" w:line="360" w:lineRule="exact"/>
              <w:jc w:val="right"/>
              <w:rPr>
                <w:rFonts w:ascii="Symbol" w:hAnsi="Symbol"/>
                <w:szCs w:val="24"/>
              </w:rPr>
            </w:pPr>
            <w:r>
              <w:rPr>
                <w:szCs w:val="24"/>
              </w:rPr>
              <w:t xml:space="preserve">0.0530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0069B1" w:rsidP="00B943FE">
            <w:pPr>
              <w:spacing w:after="40" w:line="360" w:lineRule="exact"/>
              <w:jc w:val="right"/>
              <w:rPr>
                <w:szCs w:val="24"/>
              </w:rPr>
            </w:pPr>
            <w:r>
              <w:rPr>
                <w:szCs w:val="24"/>
              </w:rPr>
              <w:t xml:space="preserve">0.469 </w:t>
            </w:r>
            <w:r w:rsidR="003E619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0069B1" w:rsidP="002F55F6">
            <w:pPr>
              <w:spacing w:after="40" w:line="360" w:lineRule="exact"/>
              <w:jc w:val="right"/>
              <w:rPr>
                <w:rFonts w:ascii="Symbol" w:hAnsi="Symbol"/>
                <w:szCs w:val="24"/>
              </w:rPr>
            </w:pPr>
            <w:r>
              <w:rPr>
                <w:szCs w:val="24"/>
              </w:rPr>
              <w:t xml:space="preserve">0.3501 </w:t>
            </w:r>
            <w:r w:rsidR="003E619B"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70"/>
        <w:gridCol w:w="4966"/>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E300CE" w:rsidP="00E300CE">
            <w:pPr>
              <w:pStyle w:val="BodyText"/>
              <w:autoSpaceDE w:val="0"/>
              <w:autoSpaceDN w:val="0"/>
              <w:spacing w:beforeLines="0" w:afterLines="0" w:after="120" w:line="300" w:lineRule="exact"/>
              <w:jc w:val="both"/>
            </w:pPr>
            <w:r>
              <w:t>0.6</w:t>
            </w:r>
            <w:r w:rsidR="00981BED">
              <w:t>91</w:t>
            </w:r>
            <w:r w:rsidR="00A35494">
              <w:t xml:space="preserve"> +/- 0.001 T at </w:t>
            </w:r>
            <w:r>
              <w:t xml:space="preserve"> </w:t>
            </w:r>
            <w:r w:rsidR="00981BED">
              <w:t xml:space="preserve">199.95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242991">
            <w:r w:rsidRPr="004E55A9">
              <w:rPr>
                <w:sz w:val="18"/>
                <w:szCs w:val="18"/>
              </w:rPr>
              <w:t>http://www-group.slac.stanford.edu/met/Mag</w:t>
            </w:r>
            <w:r>
              <w:rPr>
                <w:sz w:val="18"/>
                <w:szCs w:val="18"/>
              </w:rPr>
              <w:t>Meas/MAGDATA/LCLS-II/Dipole/</w:t>
            </w:r>
            <w:r w:rsidR="003E619B">
              <w:rPr>
                <w:sz w:val="18"/>
                <w:szCs w:val="18"/>
              </w:rPr>
              <w:t>4554</w:t>
            </w:r>
            <w:r w:rsidRPr="004E55A9">
              <w:rPr>
                <w:sz w:val="18"/>
                <w:szCs w:val="18"/>
              </w:rPr>
              <w:t>/</w:t>
            </w:r>
            <w:r>
              <w:t xml:space="preserve"> </w:t>
            </w:r>
            <w:r w:rsidR="00C57EDF">
              <w:rPr>
                <w:sz w:val="18"/>
                <w:szCs w:val="18"/>
              </w:rPr>
              <w:t>BXSP1</w:t>
            </w:r>
            <w:r w:rsidRPr="00027220">
              <w:rPr>
                <w:sz w:val="18"/>
                <w:szCs w:val="18"/>
              </w:rPr>
              <w:t>S.pptx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46" w:rsidRDefault="00206D46" w:rsidP="00AF3BFD">
      <w:r>
        <w:separator/>
      </w:r>
    </w:p>
  </w:endnote>
  <w:endnote w:type="continuationSeparator" w:id="0">
    <w:p w:rsidR="00206D46" w:rsidRDefault="00206D4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700A3">
          <w:rPr>
            <w:noProof/>
          </w:rPr>
          <w:t>3</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B700A3">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81BED">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981BED">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46" w:rsidRDefault="00206D46" w:rsidP="00AF3BFD">
      <w:r>
        <w:separator/>
      </w:r>
    </w:p>
  </w:footnote>
  <w:footnote w:type="continuationSeparator" w:id="0">
    <w:p w:rsidR="00206D46" w:rsidRDefault="00206D4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752BE"/>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06D46"/>
    <w:rsid w:val="002112D7"/>
    <w:rsid w:val="002128A5"/>
    <w:rsid w:val="00213849"/>
    <w:rsid w:val="00214CBB"/>
    <w:rsid w:val="00231109"/>
    <w:rsid w:val="00235CD6"/>
    <w:rsid w:val="002461F7"/>
    <w:rsid w:val="00247F64"/>
    <w:rsid w:val="00250E30"/>
    <w:rsid w:val="00252C9D"/>
    <w:rsid w:val="0025400A"/>
    <w:rsid w:val="00260807"/>
    <w:rsid w:val="00266F38"/>
    <w:rsid w:val="00276684"/>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244DF"/>
    <w:rsid w:val="00332694"/>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22AC8"/>
    <w:rsid w:val="0043034E"/>
    <w:rsid w:val="00456274"/>
    <w:rsid w:val="00456989"/>
    <w:rsid w:val="00457FB1"/>
    <w:rsid w:val="00460AA5"/>
    <w:rsid w:val="00462AAC"/>
    <w:rsid w:val="00466E49"/>
    <w:rsid w:val="00480291"/>
    <w:rsid w:val="004809CC"/>
    <w:rsid w:val="004842FA"/>
    <w:rsid w:val="00492742"/>
    <w:rsid w:val="00492E1D"/>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1D0A"/>
    <w:rsid w:val="008B30B4"/>
    <w:rsid w:val="008B7A09"/>
    <w:rsid w:val="008C2781"/>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403E"/>
    <w:rsid w:val="00955CD7"/>
    <w:rsid w:val="00956CA5"/>
    <w:rsid w:val="00965419"/>
    <w:rsid w:val="0096601B"/>
    <w:rsid w:val="00971F16"/>
    <w:rsid w:val="009758F6"/>
    <w:rsid w:val="00981BED"/>
    <w:rsid w:val="009843BC"/>
    <w:rsid w:val="0099068C"/>
    <w:rsid w:val="00991320"/>
    <w:rsid w:val="0099770C"/>
    <w:rsid w:val="009A35B5"/>
    <w:rsid w:val="009B75AD"/>
    <w:rsid w:val="009B7FE2"/>
    <w:rsid w:val="009C5B4C"/>
    <w:rsid w:val="009C6716"/>
    <w:rsid w:val="009D2821"/>
    <w:rsid w:val="009D47B3"/>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0A3"/>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57EDF"/>
    <w:rsid w:val="00C627BF"/>
    <w:rsid w:val="00C65634"/>
    <w:rsid w:val="00C65DF9"/>
    <w:rsid w:val="00C66DC7"/>
    <w:rsid w:val="00C7724F"/>
    <w:rsid w:val="00C9670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F2229"/>
    <w:rsid w:val="00DF335F"/>
    <w:rsid w:val="00E01447"/>
    <w:rsid w:val="00E136A9"/>
    <w:rsid w:val="00E13EDC"/>
    <w:rsid w:val="00E17C22"/>
    <w:rsid w:val="00E20D87"/>
    <w:rsid w:val="00E300CE"/>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1908EF71-2E21-4FC4-8269-40C68F9F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357</TotalTime>
  <Pages>6</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2018-08-28T16:29:00Z</cp:lastPrinted>
  <dcterms:created xsi:type="dcterms:W3CDTF">2018-10-10T18:46:00Z</dcterms:created>
  <dcterms:modified xsi:type="dcterms:W3CDTF">2018-11-01T17:19:00Z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