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E46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8E46BF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8E46BF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9673D6">
              <w:rPr>
                <w:szCs w:val="24"/>
              </w:rPr>
              <w:t>15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8E46BF">
              <w:rPr>
                <w:sz w:val="18"/>
                <w:szCs w:val="18"/>
              </w:rPr>
              <w:t>4626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9673D6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10.50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9673D6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1.355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DF36C0" w:rsidP="008213A1">
            <w:pPr>
              <w:spacing w:after="40" w:line="360" w:lineRule="exact"/>
              <w:jc w:val="both"/>
            </w:pPr>
            <w:r w:rsidRPr="00DF36C0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DF36C0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agMeas/MAGDATA/LCLS-II/Corr/4626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58" w:rsidRDefault="00193658" w:rsidP="00AF3BFD">
      <w:r>
        <w:separator/>
      </w:r>
    </w:p>
  </w:endnote>
  <w:endnote w:type="continuationSeparator" w:id="0">
    <w:p w:rsidR="00193658" w:rsidRDefault="0019365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DF36C0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36C0">
          <w:fldChar w:fldCharType="begin"/>
        </w:r>
        <w:r w:rsidR="00DF36C0">
          <w:instrText xml:space="preserve"> NUMPAGES  </w:instrText>
        </w:r>
        <w:r w:rsidR="00DF36C0">
          <w:fldChar w:fldCharType="separate"/>
        </w:r>
        <w:r w:rsidR="00DF36C0">
          <w:rPr>
            <w:noProof/>
          </w:rPr>
          <w:t>3</w:t>
        </w:r>
        <w:r w:rsidR="00DF36C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DF36C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36C0">
          <w:fldChar w:fldCharType="begin"/>
        </w:r>
        <w:r w:rsidR="00DF36C0">
          <w:instrText xml:space="preserve"> NUMPAGES  </w:instrText>
        </w:r>
        <w:r w:rsidR="00DF36C0">
          <w:fldChar w:fldCharType="separate"/>
        </w:r>
        <w:r w:rsidR="00DF36C0">
          <w:rPr>
            <w:noProof/>
          </w:rPr>
          <w:t>3</w:t>
        </w:r>
        <w:r w:rsidR="00DF36C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58" w:rsidRDefault="00193658" w:rsidP="00AF3BFD">
      <w:r>
        <w:separator/>
      </w:r>
    </w:p>
  </w:footnote>
  <w:footnote w:type="continuationSeparator" w:id="0">
    <w:p w:rsidR="00193658" w:rsidRDefault="00193658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365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E46BF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673D6"/>
    <w:rsid w:val="00971F16"/>
    <w:rsid w:val="009758F6"/>
    <w:rsid w:val="009843BC"/>
    <w:rsid w:val="0099061F"/>
    <w:rsid w:val="0099068C"/>
    <w:rsid w:val="00990CB7"/>
    <w:rsid w:val="0099770C"/>
    <w:rsid w:val="009A35B5"/>
    <w:rsid w:val="009B729D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DF36C0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DC03E5"/>
  <w15:docId w15:val="{D0364EE7-473F-47BC-8CFD-2A0C9B2C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3B49BD-4741-4F79-9355-CEFDA373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