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1E510C" w:rsidP="002B587C">
            <w:pPr>
              <w:spacing w:after="200" w:line="276" w:lineRule="auto"/>
              <w:jc w:val="center"/>
              <w:rPr>
                <w:rFonts w:cs="Arial"/>
              </w:rPr>
            </w:pPr>
            <w:r>
              <w:rPr>
                <w:rFonts w:cs="Arial"/>
              </w:rPr>
              <w:t>7/12</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1F75CA" w:rsidP="002B587C">
            <w:pPr>
              <w:spacing w:after="200" w:line="276" w:lineRule="auto"/>
              <w:jc w:val="center"/>
              <w:rPr>
                <w:rFonts w:cs="Arial"/>
              </w:rPr>
            </w:pP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2B587C" w:rsidP="006A6FE8">
            <w:pPr>
              <w:spacing w:after="200" w:line="276" w:lineRule="auto"/>
              <w:jc w:val="center"/>
              <w:rPr>
                <w:rFonts w:cs="Arial"/>
              </w:rPr>
            </w:pPr>
            <w:r>
              <w:rPr>
                <w:rFonts w:cs="Arial"/>
              </w:rPr>
              <w:t>0</w:t>
            </w:r>
            <w:r w:rsidR="001E510C">
              <w:rPr>
                <w:rFonts w:cs="Arial"/>
              </w:rPr>
              <w:t>41</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851821">
        <w:trPr>
          <w:trHeight w:val="314"/>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0"/>
      </w:tblGrid>
      <w:tr w:rsidR="001F75CA" w:rsidRPr="001F75CA" w:rsidTr="00851821">
        <w:trPr>
          <w:trHeight w:val="305"/>
          <w:jc w:val="center"/>
        </w:trPr>
        <w:tc>
          <w:tcPr>
            <w:tcW w:w="10040" w:type="dxa"/>
          </w:tcPr>
          <w:p w:rsidR="00633C2C" w:rsidRPr="00392F85" w:rsidRDefault="000D59D9"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851821" w:rsidRPr="00851821">
              <w:rPr>
                <w:rFonts w:cs="Arial"/>
                <w:sz w:val="18"/>
                <w:szCs w:val="18"/>
              </w:rPr>
              <w:t>1.26Q3.5-179607-</w:t>
            </w:r>
            <w:r w:rsidR="00851821" w:rsidRPr="00851821">
              <w:rPr>
                <w:rFonts w:cs="Arial"/>
                <w:sz w:val="18"/>
                <w:szCs w:val="18"/>
              </w:rPr>
              <w:lastRenderedPageBreak/>
              <w:t>041_Fiducial_Report.pdf</w:t>
            </w:r>
            <w:r w:rsidR="002D3C83" w:rsidRPr="002D3C83">
              <w:rPr>
                <w:rFonts w:cs="Arial"/>
                <w:sz w:val="18"/>
                <w:szCs w:val="18"/>
              </w:rPr>
              <w:t>041_Fiducial_Report.pdf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0D59D9"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7D7E62">
              <w:rPr>
                <w:rStyle w:val="Hyperlink"/>
                <w:rFonts w:cs="Arial"/>
                <w:sz w:val="18"/>
                <w:szCs w:val="18"/>
              </w:rPr>
              <w:t>1.26Q3.5-159974-041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r w:rsidR="000D59D9">
        <w:rPr>
          <w:noProof/>
        </w:rPr>
        <w:fldChar w:fldCharType="begin"/>
      </w:r>
      <w:r w:rsidR="000D59D9">
        <w:rPr>
          <w:noProof/>
        </w:rPr>
        <w:instrText xml:space="preserve"> SEQ Figure \* ARABIC </w:instrText>
      </w:r>
      <w:r w:rsidR="000D59D9">
        <w:rPr>
          <w:noProof/>
        </w:rPr>
        <w:fldChar w:fldCharType="separate"/>
      </w:r>
      <w:r w:rsidR="00091850">
        <w:rPr>
          <w:noProof/>
        </w:rPr>
        <w:t>1</w:t>
      </w:r>
      <w:r w:rsidR="000D59D9">
        <w:rPr>
          <w:noProof/>
        </w:rPr>
        <w:fldChar w:fldCharType="end"/>
      </w:r>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F81501"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F81501" w:rsidP="00182E29">
            <w:pPr>
              <w:spacing w:after="200" w:line="276" w:lineRule="auto"/>
              <w:jc w:val="right"/>
              <w:rPr>
                <w:rFonts w:cs="Arial"/>
              </w:rPr>
            </w:pPr>
            <w:r>
              <w:rPr>
                <w:rFonts w:cs="Arial"/>
              </w:rPr>
              <w:t>N/A</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F42639">
              <w:rPr>
                <w:rFonts w:cs="Arial"/>
              </w:rPr>
              <w:t>0.1517</w:t>
            </w:r>
            <w:r w:rsidR="006928B4">
              <w:rPr>
                <w:rFonts w:cs="Arial"/>
              </w:rPr>
              <w:t xml:space="preserve"> T</w:t>
            </w:r>
            <w:r w:rsidR="00547DFE">
              <w:rPr>
                <w:rFonts w:cs="Arial"/>
              </w:rPr>
              <w:t>esla</w:t>
            </w:r>
            <w:r w:rsidR="003F2942">
              <w:rPr>
                <w:rFonts w:cs="Arial"/>
              </w:rPr>
              <w:t xml:space="preserve"> at </w:t>
            </w:r>
            <w:r w:rsidR="00F42639" w:rsidRPr="00F42639">
              <w:rPr>
                <w:rFonts w:cs="Arial"/>
              </w:rPr>
              <w:t>5.9991</w:t>
            </w:r>
            <w:r w:rsidR="003F2942">
              <w:rPr>
                <w:rFonts w:cs="Arial"/>
              </w:rPr>
              <w:t>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22"/>
      </w:tblGrid>
      <w:tr w:rsidR="001F75CA" w:rsidRPr="001F75CA" w:rsidTr="00A61DE0">
        <w:trPr>
          <w:trHeight w:val="456"/>
          <w:jc w:val="center"/>
        </w:trPr>
        <w:tc>
          <w:tcPr>
            <w:tcW w:w="5508" w:type="dxa"/>
          </w:tcPr>
          <w:p w:rsidR="001F75CA" w:rsidRPr="001F75CA" w:rsidRDefault="001F75CA" w:rsidP="001F75CA">
            <w:pPr>
              <w:spacing w:after="200" w:line="276" w:lineRule="auto"/>
              <w:rPr>
                <w:rFonts w:cs="Arial"/>
              </w:rPr>
            </w:pPr>
            <w:r w:rsidRPr="001F75CA">
              <w:rPr>
                <w:rFonts w:cs="Arial"/>
              </w:rPr>
              <w:t>Inductance of coil (mH):</w:t>
            </w:r>
          </w:p>
        </w:tc>
        <w:tc>
          <w:tcPr>
            <w:tcW w:w="3522" w:type="dxa"/>
          </w:tcPr>
          <w:p w:rsidR="001F75CA" w:rsidRPr="001F75CA" w:rsidRDefault="005D7702" w:rsidP="00AA60FC">
            <w:pPr>
              <w:spacing w:after="200" w:line="276" w:lineRule="auto"/>
              <w:jc w:val="right"/>
              <w:rPr>
                <w:rFonts w:cs="Arial"/>
              </w:rPr>
            </w:pPr>
            <w:r>
              <w:rPr>
                <w:rFonts w:cs="Arial"/>
              </w:rPr>
              <w:t xml:space="preserve">9.99 </w:t>
            </w:r>
            <w:r w:rsidR="001F75CA" w:rsidRPr="001F75CA">
              <w:rPr>
                <w:rFonts w:cs="Arial"/>
              </w:rPr>
              <w:t>mH</w:t>
            </w:r>
          </w:p>
        </w:tc>
      </w:tr>
      <w:tr w:rsidR="001F75CA" w:rsidRPr="001F75CA" w:rsidTr="00A61DE0">
        <w:trPr>
          <w:trHeight w:val="470"/>
          <w:jc w:val="center"/>
        </w:trPr>
        <w:tc>
          <w:tcPr>
            <w:tcW w:w="5508" w:type="dxa"/>
          </w:tcPr>
          <w:p w:rsidR="001F75CA" w:rsidRPr="001F75CA" w:rsidRDefault="001F75CA" w:rsidP="001F75CA">
            <w:pPr>
              <w:spacing w:after="200" w:line="276" w:lineRule="auto"/>
              <w:rPr>
                <w:rFonts w:cs="Arial"/>
              </w:rPr>
            </w:pPr>
            <w:r w:rsidRPr="001F75CA">
              <w:rPr>
                <w:rFonts w:cs="Arial"/>
              </w:rPr>
              <w:t>Resistance of coil (Ohms):</w:t>
            </w:r>
          </w:p>
        </w:tc>
        <w:tc>
          <w:tcPr>
            <w:tcW w:w="3522" w:type="dxa"/>
          </w:tcPr>
          <w:p w:rsidR="001F75CA" w:rsidRPr="001F75CA" w:rsidRDefault="005D7702" w:rsidP="00AA60FC">
            <w:pPr>
              <w:spacing w:after="200" w:line="276" w:lineRule="auto"/>
              <w:jc w:val="right"/>
              <w:rPr>
                <w:rFonts w:cs="Arial"/>
              </w:rPr>
            </w:pPr>
            <w:r>
              <w:rPr>
                <w:rFonts w:cs="Arial"/>
              </w:rPr>
              <w:t>0.3839</w:t>
            </w:r>
            <w:r w:rsidR="00865734">
              <w:rPr>
                <w:rFonts w:cs="Arial"/>
              </w:rPr>
              <w:t xml:space="preserve"> </w:t>
            </w:r>
            <w:r w:rsidR="001F75CA" w:rsidRPr="001F75CA">
              <w:rPr>
                <w:rFonts w:cs="Arial"/>
              </w:rPr>
              <w:t>Ohm</w:t>
            </w:r>
          </w:p>
        </w:tc>
      </w:tr>
      <w:tr w:rsidR="001F75CA" w:rsidRPr="001F75CA" w:rsidTr="00A61DE0">
        <w:trPr>
          <w:trHeight w:val="287"/>
          <w:jc w:val="center"/>
        </w:trPr>
        <w:tc>
          <w:tcPr>
            <w:tcW w:w="5508"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22" w:type="dxa"/>
          </w:tcPr>
          <w:p w:rsidR="001F75CA" w:rsidRPr="001F75CA" w:rsidRDefault="00A61DE0" w:rsidP="00AA60FC">
            <w:pPr>
              <w:spacing w:after="200" w:line="276" w:lineRule="auto"/>
              <w:jc w:val="right"/>
              <w:rPr>
                <w:rFonts w:cs="Arial"/>
              </w:rPr>
            </w:pPr>
            <w:r>
              <w:rPr>
                <w:rFonts w:cs="Arial"/>
              </w:rPr>
              <w:t xml:space="preserve">25.3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0D59D9" w:rsidP="001F75CA">
            <w:pPr>
              <w:spacing w:after="200" w:line="276" w:lineRule="auto"/>
              <w:rPr>
                <w:rFonts w:cs="Arial"/>
              </w:rPr>
            </w:pPr>
            <w:r w:rsidRPr="000D59D9">
              <w:rPr>
                <w:rFonts w:cs="Arial"/>
              </w:rPr>
              <w:t>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bookmarkStart w:id="1" w:name="_GoBack"/>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lastRenderedPageBreak/>
              <w:t>Installed</w:t>
            </w:r>
            <w:r w:rsidRPr="001F75CA">
              <w:rPr>
                <w:rFonts w:cs="Arial"/>
              </w:rPr>
              <w:t xml:space="preserve"> beamline location (MAD-deck name):</w:t>
            </w:r>
          </w:p>
        </w:tc>
        <w:tc>
          <w:tcPr>
            <w:tcW w:w="3609" w:type="dxa"/>
          </w:tcPr>
          <w:p w:rsidR="00AA1397" w:rsidRPr="001F75CA" w:rsidRDefault="000D59D9" w:rsidP="00C556D6">
            <w:pPr>
              <w:spacing w:after="200" w:line="276" w:lineRule="auto"/>
              <w:rPr>
                <w:rFonts w:cs="Arial"/>
                <w:b/>
              </w:rPr>
            </w:pPr>
            <w:r>
              <w:rPr>
                <w:rFonts w:cs="Arial"/>
                <w:b/>
              </w:rPr>
              <w:t>QM10631</w:t>
            </w:r>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B6F" w:rsidRDefault="002C5B6F" w:rsidP="000C7D27">
      <w:r>
        <w:separator/>
      </w:r>
    </w:p>
  </w:endnote>
  <w:endnote w:type="continuationSeparator" w:id="0">
    <w:p w:rsidR="002C5B6F" w:rsidRDefault="002C5B6F"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B6F" w:rsidRDefault="002C5B6F" w:rsidP="000C7D27">
      <w:r>
        <w:separator/>
      </w:r>
    </w:p>
  </w:footnote>
  <w:footnote w:type="continuationSeparator" w:id="0">
    <w:p w:rsidR="002C5B6F" w:rsidRDefault="002C5B6F"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0D59D9">
            <w:rPr>
              <w:noProof/>
            </w:rPr>
            <w:t>3</w:t>
          </w:r>
          <w:r w:rsidRPr="009033E1">
            <w:fldChar w:fldCharType="end"/>
          </w:r>
          <w:r w:rsidRPr="009033E1">
            <w:t xml:space="preserve"> of </w:t>
          </w:r>
          <w:r w:rsidR="000D59D9">
            <w:rPr>
              <w:noProof/>
            </w:rPr>
            <w:fldChar w:fldCharType="begin"/>
          </w:r>
          <w:r w:rsidR="000D59D9">
            <w:rPr>
              <w:noProof/>
            </w:rPr>
            <w:instrText xml:space="preserve"> NUMPAGES  \* Arabic  \* MERGEFORMAT </w:instrText>
          </w:r>
          <w:r w:rsidR="000D59D9">
            <w:rPr>
              <w:noProof/>
            </w:rPr>
            <w:fldChar w:fldCharType="separate"/>
          </w:r>
          <w:r w:rsidR="000D59D9">
            <w:rPr>
              <w:noProof/>
            </w:rPr>
            <w:t>4</w:t>
          </w:r>
          <w:r w:rsidR="000D59D9">
            <w:rPr>
              <w:noProof/>
            </w:rPr>
            <w:fldChar w:fldCharType="end"/>
          </w:r>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803E1"/>
    <w:rsid w:val="00091850"/>
    <w:rsid w:val="00091996"/>
    <w:rsid w:val="000957FD"/>
    <w:rsid w:val="000C7D27"/>
    <w:rsid w:val="000D59D9"/>
    <w:rsid w:val="000E252E"/>
    <w:rsid w:val="00102F20"/>
    <w:rsid w:val="00106D00"/>
    <w:rsid w:val="00124667"/>
    <w:rsid w:val="00127B1B"/>
    <w:rsid w:val="00147A95"/>
    <w:rsid w:val="0017761D"/>
    <w:rsid w:val="00182E29"/>
    <w:rsid w:val="001D1679"/>
    <w:rsid w:val="001E510C"/>
    <w:rsid w:val="001E5F63"/>
    <w:rsid w:val="001F1AF2"/>
    <w:rsid w:val="001F75CA"/>
    <w:rsid w:val="00206CA5"/>
    <w:rsid w:val="002140ED"/>
    <w:rsid w:val="002270CF"/>
    <w:rsid w:val="002313EC"/>
    <w:rsid w:val="0024254F"/>
    <w:rsid w:val="002474BC"/>
    <w:rsid w:val="00254680"/>
    <w:rsid w:val="00274743"/>
    <w:rsid w:val="00282385"/>
    <w:rsid w:val="002876EC"/>
    <w:rsid w:val="00294E6A"/>
    <w:rsid w:val="002A39E0"/>
    <w:rsid w:val="002B0C30"/>
    <w:rsid w:val="002B587C"/>
    <w:rsid w:val="002C290F"/>
    <w:rsid w:val="002C4508"/>
    <w:rsid w:val="002C5B6F"/>
    <w:rsid w:val="002D3C83"/>
    <w:rsid w:val="00334DAF"/>
    <w:rsid w:val="00344A3A"/>
    <w:rsid w:val="0035344B"/>
    <w:rsid w:val="0036247B"/>
    <w:rsid w:val="00382353"/>
    <w:rsid w:val="00383636"/>
    <w:rsid w:val="00392F85"/>
    <w:rsid w:val="003B148F"/>
    <w:rsid w:val="003F2942"/>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370E2"/>
    <w:rsid w:val="00547DFE"/>
    <w:rsid w:val="00551B24"/>
    <w:rsid w:val="0057004B"/>
    <w:rsid w:val="00575411"/>
    <w:rsid w:val="0058315D"/>
    <w:rsid w:val="0058524D"/>
    <w:rsid w:val="005A6600"/>
    <w:rsid w:val="005B67A0"/>
    <w:rsid w:val="005D7702"/>
    <w:rsid w:val="005D7776"/>
    <w:rsid w:val="005E3B86"/>
    <w:rsid w:val="005F282F"/>
    <w:rsid w:val="006060CB"/>
    <w:rsid w:val="00633C2C"/>
    <w:rsid w:val="006528B5"/>
    <w:rsid w:val="00674BBF"/>
    <w:rsid w:val="00684FD9"/>
    <w:rsid w:val="006928B4"/>
    <w:rsid w:val="006A6FE8"/>
    <w:rsid w:val="006E67ED"/>
    <w:rsid w:val="006F5B43"/>
    <w:rsid w:val="00703DBE"/>
    <w:rsid w:val="00707D37"/>
    <w:rsid w:val="0071133A"/>
    <w:rsid w:val="007260B9"/>
    <w:rsid w:val="0073062F"/>
    <w:rsid w:val="007346CC"/>
    <w:rsid w:val="00745E21"/>
    <w:rsid w:val="00763BDA"/>
    <w:rsid w:val="00783412"/>
    <w:rsid w:val="007A249B"/>
    <w:rsid w:val="007B5351"/>
    <w:rsid w:val="007B54B7"/>
    <w:rsid w:val="007D3231"/>
    <w:rsid w:val="007D7E62"/>
    <w:rsid w:val="007E32E5"/>
    <w:rsid w:val="007E3A30"/>
    <w:rsid w:val="007E7FE6"/>
    <w:rsid w:val="007F3C07"/>
    <w:rsid w:val="007F5C43"/>
    <w:rsid w:val="00807CD9"/>
    <w:rsid w:val="00821E1E"/>
    <w:rsid w:val="00831CF2"/>
    <w:rsid w:val="00833430"/>
    <w:rsid w:val="00840357"/>
    <w:rsid w:val="00851821"/>
    <w:rsid w:val="00863FAB"/>
    <w:rsid w:val="00865734"/>
    <w:rsid w:val="00872D88"/>
    <w:rsid w:val="00875722"/>
    <w:rsid w:val="00877626"/>
    <w:rsid w:val="00881EB7"/>
    <w:rsid w:val="0088540E"/>
    <w:rsid w:val="0089175E"/>
    <w:rsid w:val="008D1CB5"/>
    <w:rsid w:val="008D39AD"/>
    <w:rsid w:val="008D4DE5"/>
    <w:rsid w:val="008D69F6"/>
    <w:rsid w:val="008E1F54"/>
    <w:rsid w:val="008E77EE"/>
    <w:rsid w:val="008F7238"/>
    <w:rsid w:val="00910A33"/>
    <w:rsid w:val="009272DD"/>
    <w:rsid w:val="00934D67"/>
    <w:rsid w:val="00952362"/>
    <w:rsid w:val="009536EC"/>
    <w:rsid w:val="00964FA9"/>
    <w:rsid w:val="00974F0E"/>
    <w:rsid w:val="009763B6"/>
    <w:rsid w:val="009829E2"/>
    <w:rsid w:val="009946FA"/>
    <w:rsid w:val="009B59BB"/>
    <w:rsid w:val="009B6F4B"/>
    <w:rsid w:val="009B755A"/>
    <w:rsid w:val="00A03646"/>
    <w:rsid w:val="00A04EB1"/>
    <w:rsid w:val="00A30051"/>
    <w:rsid w:val="00A525EC"/>
    <w:rsid w:val="00A61DE0"/>
    <w:rsid w:val="00A63D73"/>
    <w:rsid w:val="00A90791"/>
    <w:rsid w:val="00A93F82"/>
    <w:rsid w:val="00AA1397"/>
    <w:rsid w:val="00AA60FC"/>
    <w:rsid w:val="00AC74F6"/>
    <w:rsid w:val="00B22985"/>
    <w:rsid w:val="00B258F4"/>
    <w:rsid w:val="00B26247"/>
    <w:rsid w:val="00B36F0A"/>
    <w:rsid w:val="00B47D01"/>
    <w:rsid w:val="00B634BF"/>
    <w:rsid w:val="00B668A3"/>
    <w:rsid w:val="00B86AD8"/>
    <w:rsid w:val="00BA5A98"/>
    <w:rsid w:val="00BA6DFF"/>
    <w:rsid w:val="00BD3F39"/>
    <w:rsid w:val="00BE303E"/>
    <w:rsid w:val="00BE3EC6"/>
    <w:rsid w:val="00BE62A8"/>
    <w:rsid w:val="00BF4FBC"/>
    <w:rsid w:val="00C107B3"/>
    <w:rsid w:val="00C3107A"/>
    <w:rsid w:val="00C33C03"/>
    <w:rsid w:val="00C33F5F"/>
    <w:rsid w:val="00CB6FF1"/>
    <w:rsid w:val="00CC2B08"/>
    <w:rsid w:val="00CC745D"/>
    <w:rsid w:val="00CE1C1A"/>
    <w:rsid w:val="00CE67EE"/>
    <w:rsid w:val="00D13151"/>
    <w:rsid w:val="00D2078A"/>
    <w:rsid w:val="00D36D92"/>
    <w:rsid w:val="00D96F41"/>
    <w:rsid w:val="00DB01F3"/>
    <w:rsid w:val="00DB5D70"/>
    <w:rsid w:val="00DC5C4E"/>
    <w:rsid w:val="00DC6F96"/>
    <w:rsid w:val="00DD3A6C"/>
    <w:rsid w:val="00E005AE"/>
    <w:rsid w:val="00E1735F"/>
    <w:rsid w:val="00E249DD"/>
    <w:rsid w:val="00E26A66"/>
    <w:rsid w:val="00E34D62"/>
    <w:rsid w:val="00E46133"/>
    <w:rsid w:val="00E46330"/>
    <w:rsid w:val="00E51178"/>
    <w:rsid w:val="00E552DD"/>
    <w:rsid w:val="00E97C60"/>
    <w:rsid w:val="00EA3B92"/>
    <w:rsid w:val="00EB0841"/>
    <w:rsid w:val="00EC646B"/>
    <w:rsid w:val="00F117F3"/>
    <w:rsid w:val="00F1323E"/>
    <w:rsid w:val="00F25DC1"/>
    <w:rsid w:val="00F41446"/>
    <w:rsid w:val="00F42639"/>
    <w:rsid w:val="00F70530"/>
    <w:rsid w:val="00F7721A"/>
    <w:rsid w:val="00F81501"/>
    <w:rsid w:val="00FB305A"/>
    <w:rsid w:val="00FB6EB8"/>
    <w:rsid w:val="00FC0BF0"/>
    <w:rsid w:val="00FC1A52"/>
    <w:rsid w:val="00FC1AF9"/>
    <w:rsid w:val="00FC66E6"/>
    <w:rsid w:val="00FD2D85"/>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2.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5.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706557-C149-4777-995E-D10DADA5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2018-07-27T23:29:00Z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