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AAA52" w14:textId="77777777" w:rsidR="00AF2CC2" w:rsidRDefault="00652BCB" w:rsidP="00652BCB">
      <w:pPr>
        <w:pStyle w:val="Title"/>
      </w:pPr>
      <w:r>
        <w:t>Taper Effect on SXU ISRDD Coil Integrals</w:t>
      </w:r>
      <w:r>
        <w:tab/>
      </w:r>
    </w:p>
    <w:p w14:paraId="11B50A45" w14:textId="77777777" w:rsidR="00652BCB" w:rsidRDefault="00652BCB" w:rsidP="00652BCB"/>
    <w:p w14:paraId="6957C3EB" w14:textId="1F981090" w:rsidR="00B74B67" w:rsidRDefault="00652BCB" w:rsidP="00652BCB">
      <w:pPr>
        <w:rPr>
          <w:lang w:val="en"/>
        </w:rPr>
      </w:pPr>
      <w:r>
        <w:rPr>
          <w:lang w:val="en"/>
        </w:rPr>
        <w:t xml:space="preserve">The ISRDD coils on the SXR undulators have been measured in the tunnel, right next to each </w:t>
      </w:r>
      <w:r w:rsidR="004A1630">
        <w:rPr>
          <w:lang w:val="en"/>
        </w:rPr>
        <w:t>undulator</w:t>
      </w:r>
      <w:r>
        <w:rPr>
          <w:lang w:val="en"/>
        </w:rPr>
        <w:t xml:space="preserve">, since February of 2020.  The measurements are </w:t>
      </w:r>
      <w:r w:rsidR="004A1630">
        <w:rPr>
          <w:lang w:val="en"/>
        </w:rPr>
        <w:t>referred</w:t>
      </w:r>
      <w:r>
        <w:rPr>
          <w:lang w:val="en"/>
        </w:rPr>
        <w:t xml:space="preserve"> to as Tunnel measurements, as opposed to the Upstairs measurements made from the service buildings, after long haul RG-58 cables were pulled in August of 2020. </w:t>
      </w:r>
      <w:r w:rsidR="004A1630">
        <w:rPr>
          <w:lang w:val="en"/>
        </w:rPr>
        <w:t xml:space="preserve"> These two sets of measurements have been occurring together since September 2020 and the number offset for the runs is 7, with the first Upstairs measurements happening within a day of the 8</w:t>
      </w:r>
      <w:r w:rsidR="004A1630" w:rsidRPr="004A1630">
        <w:rPr>
          <w:vertAlign w:val="superscript"/>
          <w:lang w:val="en"/>
        </w:rPr>
        <w:t>th</w:t>
      </w:r>
      <w:r w:rsidR="004A1630">
        <w:rPr>
          <w:lang w:val="en"/>
        </w:rPr>
        <w:t xml:space="preserve"> Tunnel measurements. </w:t>
      </w:r>
      <w:r>
        <w:rPr>
          <w:lang w:val="en"/>
        </w:rPr>
        <w:t xml:space="preserve"> </w:t>
      </w:r>
      <w:r w:rsidRPr="00652BCB">
        <w:rPr>
          <w:lang w:val="en"/>
        </w:rPr>
        <w:t>During th</w:t>
      </w:r>
      <w:r>
        <w:rPr>
          <w:lang w:val="en"/>
        </w:rPr>
        <w:t>e 13</w:t>
      </w:r>
      <w:r w:rsidRPr="00652BCB">
        <w:rPr>
          <w:vertAlign w:val="superscript"/>
          <w:lang w:val="en"/>
        </w:rPr>
        <w:t>th</w:t>
      </w:r>
      <w:r>
        <w:rPr>
          <w:lang w:val="en"/>
        </w:rPr>
        <w:t xml:space="preserve"> Tunnel measurements (6</w:t>
      </w:r>
      <w:r w:rsidRPr="00652BCB">
        <w:rPr>
          <w:vertAlign w:val="superscript"/>
          <w:lang w:val="en"/>
        </w:rPr>
        <w:t>th</w:t>
      </w:r>
      <w:r>
        <w:rPr>
          <w:lang w:val="en"/>
        </w:rPr>
        <w:t xml:space="preserve"> Upstairs), the taper of some of the undulators </w:t>
      </w:r>
      <w:r w:rsidR="0032707E">
        <w:rPr>
          <w:lang w:val="en"/>
        </w:rPr>
        <w:t>had been set to a non-zero value</w:t>
      </w:r>
      <w:r w:rsidR="004A1630">
        <w:rPr>
          <w:lang w:val="en"/>
        </w:rPr>
        <w:t>s</w:t>
      </w:r>
      <w:r w:rsidR="0032707E">
        <w:rPr>
          <w:lang w:val="en"/>
        </w:rPr>
        <w:t xml:space="preserve"> and this caused the ISRDD coil integrals to change noticeably. </w:t>
      </w:r>
      <w:r>
        <w:rPr>
          <w:lang w:val="en"/>
        </w:rPr>
        <w:t xml:space="preserve"> </w:t>
      </w:r>
      <w:r w:rsidR="004A1630">
        <w:rPr>
          <w:lang w:val="en"/>
        </w:rPr>
        <w:t>The taper was noticeable for the SXR</w:t>
      </w:r>
      <w:r w:rsidR="00AB2AF6">
        <w:rPr>
          <w:lang w:val="en"/>
        </w:rPr>
        <w:t xml:space="preserve"> undulators in cells </w:t>
      </w:r>
      <w:r w:rsidR="005F1F71">
        <w:rPr>
          <w:lang w:val="en"/>
        </w:rPr>
        <w:t xml:space="preserve">33, 34, </w:t>
      </w:r>
      <w:r w:rsidR="004A1630">
        <w:rPr>
          <w:lang w:val="en"/>
        </w:rPr>
        <w:t xml:space="preserve">46, and 47. </w:t>
      </w:r>
      <w:r w:rsidR="00C1578D">
        <w:rPr>
          <w:lang w:val="en"/>
        </w:rPr>
        <w:t xml:space="preserve"> Looking at the effect that these tapers had on these undulators we can get an idea of the effect any amount of taper can have on have on an SXR undulator.  </w:t>
      </w:r>
      <w:r w:rsidR="004A1630">
        <w:rPr>
          <w:lang w:val="en"/>
        </w:rPr>
        <w:t xml:space="preserve">  </w:t>
      </w:r>
      <w:r w:rsidR="00B74B67">
        <w:rPr>
          <w:lang w:val="en"/>
        </w:rPr>
        <w:t xml:space="preserve">To find the delta integral change for each of these undulators, the average of the measurements that were before and after the taper measurement will be used. </w:t>
      </w:r>
    </w:p>
    <w:p w14:paraId="6703F9D1" w14:textId="77777777" w:rsidR="00B74B67" w:rsidRDefault="00B74B67" w:rsidP="00652BCB">
      <w:pPr>
        <w:rPr>
          <w:lang w:val="en"/>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B74B67" w14:paraId="48DB7F6E" w14:textId="77777777" w:rsidTr="00B74B67">
        <w:tc>
          <w:tcPr>
            <w:tcW w:w="1558" w:type="dxa"/>
          </w:tcPr>
          <w:p w14:paraId="1E93B2E6" w14:textId="77777777" w:rsidR="00B74B67" w:rsidRDefault="00B74B67" w:rsidP="00B74B67">
            <w:pPr>
              <w:jc w:val="center"/>
              <w:rPr>
                <w:lang w:val="en"/>
              </w:rPr>
            </w:pPr>
            <w:r>
              <w:rPr>
                <w:lang w:val="en"/>
              </w:rPr>
              <w:t>SXR Cell</w:t>
            </w:r>
          </w:p>
        </w:tc>
        <w:tc>
          <w:tcPr>
            <w:tcW w:w="1558" w:type="dxa"/>
          </w:tcPr>
          <w:p w14:paraId="2342F195" w14:textId="77777777" w:rsidR="00B74B67" w:rsidRDefault="00B74B67" w:rsidP="00B74B67">
            <w:pPr>
              <w:jc w:val="center"/>
              <w:rPr>
                <w:lang w:val="en"/>
              </w:rPr>
            </w:pPr>
            <w:r>
              <w:rPr>
                <w:lang w:val="en"/>
              </w:rPr>
              <w:t xml:space="preserve">Mean </w:t>
            </w:r>
            <w:r>
              <w:rPr>
                <w:lang w:val="en"/>
              </w:rPr>
              <w:t xml:space="preserve"> </w:t>
            </w:r>
            <w:r>
              <w:rPr>
                <w:lang w:val="en"/>
              </w:rPr>
              <w:t>Integral Run 12 and 14</w:t>
            </w:r>
          </w:p>
          <w:p w14:paraId="5A3A944E" w14:textId="77777777" w:rsidR="00B74B67" w:rsidRDefault="00B74B67" w:rsidP="00B74B67">
            <w:pPr>
              <w:jc w:val="center"/>
              <w:rPr>
                <w:lang w:val="en"/>
              </w:rPr>
            </w:pPr>
            <w:r w:rsidRPr="00B74B67">
              <w:rPr>
                <w:lang w:val="en"/>
              </w:rPr>
              <w:t>(Vs)</w:t>
            </w:r>
          </w:p>
        </w:tc>
        <w:tc>
          <w:tcPr>
            <w:tcW w:w="1558" w:type="dxa"/>
          </w:tcPr>
          <w:p w14:paraId="14585080" w14:textId="77777777" w:rsidR="00B74B67" w:rsidRDefault="00B74B67" w:rsidP="00B74B67">
            <w:pPr>
              <w:jc w:val="center"/>
              <w:rPr>
                <w:lang w:val="en"/>
              </w:rPr>
            </w:pPr>
            <w:r>
              <w:rPr>
                <w:lang w:val="en"/>
              </w:rPr>
              <w:t>Integral Taper Run (13)</w:t>
            </w:r>
          </w:p>
          <w:p w14:paraId="1B150203" w14:textId="77777777" w:rsidR="00B74B67" w:rsidRDefault="00B74B67" w:rsidP="00B74B67">
            <w:pPr>
              <w:jc w:val="center"/>
              <w:rPr>
                <w:lang w:val="en"/>
              </w:rPr>
            </w:pPr>
            <w:r>
              <w:rPr>
                <w:lang w:val="en"/>
              </w:rPr>
              <w:t>(Vs)</w:t>
            </w:r>
          </w:p>
        </w:tc>
        <w:tc>
          <w:tcPr>
            <w:tcW w:w="1558" w:type="dxa"/>
          </w:tcPr>
          <w:p w14:paraId="0FFAF9D2" w14:textId="77777777" w:rsidR="00B74B67" w:rsidRDefault="00B74B67" w:rsidP="00B74B67">
            <w:pPr>
              <w:jc w:val="center"/>
              <w:rPr>
                <w:lang w:val="en"/>
              </w:rPr>
            </w:pPr>
            <w:r>
              <w:rPr>
                <w:lang w:val="en"/>
              </w:rPr>
              <w:t>Taper</w:t>
            </w:r>
          </w:p>
          <w:p w14:paraId="2A4EA0C4" w14:textId="77777777" w:rsidR="00B74B67" w:rsidRDefault="00B74B67" w:rsidP="00B74B67">
            <w:pPr>
              <w:jc w:val="center"/>
              <w:rPr>
                <w:lang w:val="en"/>
              </w:rPr>
            </w:pPr>
            <w:r>
              <w:rPr>
                <w:lang w:val="en"/>
              </w:rPr>
              <w:t>(mm)</w:t>
            </w:r>
          </w:p>
        </w:tc>
        <w:tc>
          <w:tcPr>
            <w:tcW w:w="1559" w:type="dxa"/>
          </w:tcPr>
          <w:p w14:paraId="257A50E0" w14:textId="77777777" w:rsidR="00B74B67" w:rsidRDefault="00B74B67" w:rsidP="00E9635D">
            <w:pPr>
              <w:jc w:val="center"/>
              <w:rPr>
                <w:lang w:val="en"/>
              </w:rPr>
            </w:pPr>
            <w:r>
              <w:rPr>
                <w:lang w:val="en"/>
              </w:rPr>
              <w:t>Delta Normalized Integral Change (</w:t>
            </w:r>
            <w:r w:rsidR="00E9635D" w:rsidRPr="00E9635D">
              <w:rPr>
                <w:lang w:val="en"/>
              </w:rPr>
              <w:t xml:space="preserve">Mean B&amp;A </w:t>
            </w:r>
            <w:r w:rsidR="00E9635D">
              <w:rPr>
                <w:lang w:val="en"/>
              </w:rPr>
              <w:t xml:space="preserve"> - </w:t>
            </w:r>
            <w:r>
              <w:rPr>
                <w:lang w:val="en"/>
              </w:rPr>
              <w:t>Taper</w:t>
            </w:r>
            <w:r w:rsidRPr="00B74B67">
              <w:rPr>
                <w:lang w:val="en"/>
              </w:rPr>
              <w:t xml:space="preserve">) </w:t>
            </w:r>
            <w:r>
              <w:rPr>
                <w:lang w:val="en"/>
              </w:rPr>
              <w:t>/(Mean B&amp;A)</w:t>
            </w:r>
          </w:p>
        </w:tc>
        <w:tc>
          <w:tcPr>
            <w:tcW w:w="1559" w:type="dxa"/>
          </w:tcPr>
          <w:p w14:paraId="607D7AC3" w14:textId="77777777" w:rsidR="00B74B67" w:rsidRDefault="00B74B67" w:rsidP="00B74B67">
            <w:pPr>
              <w:jc w:val="center"/>
              <w:rPr>
                <w:lang w:val="en"/>
              </w:rPr>
            </w:pPr>
            <w:r>
              <w:rPr>
                <w:lang w:val="en"/>
              </w:rPr>
              <w:t>Delta Integral/Taper</w:t>
            </w:r>
          </w:p>
        </w:tc>
      </w:tr>
      <w:tr w:rsidR="00B74B67" w14:paraId="4EE67E05" w14:textId="77777777" w:rsidTr="00B74B67">
        <w:tc>
          <w:tcPr>
            <w:tcW w:w="1558" w:type="dxa"/>
          </w:tcPr>
          <w:p w14:paraId="6902672E" w14:textId="77777777" w:rsidR="00B74B67" w:rsidRDefault="00B74B67" w:rsidP="00B74B67">
            <w:pPr>
              <w:jc w:val="center"/>
              <w:rPr>
                <w:lang w:val="en"/>
              </w:rPr>
            </w:pPr>
            <w:r>
              <w:rPr>
                <w:lang w:val="en"/>
              </w:rPr>
              <w:t>33</w:t>
            </w:r>
          </w:p>
        </w:tc>
        <w:tc>
          <w:tcPr>
            <w:tcW w:w="1558" w:type="dxa"/>
          </w:tcPr>
          <w:p w14:paraId="1C3D2F79" w14:textId="77777777" w:rsidR="00B74B67" w:rsidRDefault="00537074" w:rsidP="00B74B67">
            <w:pPr>
              <w:jc w:val="center"/>
              <w:rPr>
                <w:lang w:val="en"/>
              </w:rPr>
            </w:pPr>
            <w:r w:rsidRPr="00537074">
              <w:rPr>
                <w:lang w:val="en"/>
              </w:rPr>
              <w:t>1.4326e-01</w:t>
            </w:r>
          </w:p>
        </w:tc>
        <w:tc>
          <w:tcPr>
            <w:tcW w:w="1558" w:type="dxa"/>
          </w:tcPr>
          <w:p w14:paraId="7252EDAD" w14:textId="77777777" w:rsidR="00B74B67" w:rsidRDefault="00537074" w:rsidP="00B74B67">
            <w:pPr>
              <w:jc w:val="center"/>
              <w:rPr>
                <w:lang w:val="en"/>
              </w:rPr>
            </w:pPr>
            <w:r w:rsidRPr="00537074">
              <w:rPr>
                <w:lang w:val="en"/>
              </w:rPr>
              <w:t>1.4310e-01</w:t>
            </w:r>
          </w:p>
        </w:tc>
        <w:tc>
          <w:tcPr>
            <w:tcW w:w="1558" w:type="dxa"/>
          </w:tcPr>
          <w:p w14:paraId="7274F2F1" w14:textId="77777777" w:rsidR="00B74B67" w:rsidRDefault="00537074" w:rsidP="00B74B67">
            <w:pPr>
              <w:jc w:val="center"/>
              <w:rPr>
                <w:lang w:val="en"/>
              </w:rPr>
            </w:pPr>
            <w:r w:rsidRPr="00537074">
              <w:t xml:space="preserve">0.0229     </w:t>
            </w:r>
          </w:p>
        </w:tc>
        <w:tc>
          <w:tcPr>
            <w:tcW w:w="1559" w:type="dxa"/>
          </w:tcPr>
          <w:p w14:paraId="0B98F360" w14:textId="00C9AAA7" w:rsidR="00B74B67" w:rsidRDefault="00AB2AF6" w:rsidP="00B74B67">
            <w:pPr>
              <w:jc w:val="center"/>
              <w:rPr>
                <w:lang w:val="en"/>
              </w:rPr>
            </w:pPr>
            <w:r w:rsidRPr="00AB2AF6">
              <w:rPr>
                <w:lang w:val="en"/>
              </w:rPr>
              <w:t>1.1427e-03</w:t>
            </w:r>
          </w:p>
        </w:tc>
        <w:tc>
          <w:tcPr>
            <w:tcW w:w="1559" w:type="dxa"/>
          </w:tcPr>
          <w:p w14:paraId="05BD6C0A" w14:textId="508D15D0" w:rsidR="00B74B67" w:rsidRDefault="00AB2AF6" w:rsidP="00B74B67">
            <w:pPr>
              <w:jc w:val="center"/>
              <w:rPr>
                <w:lang w:val="en"/>
              </w:rPr>
            </w:pPr>
            <w:r w:rsidRPr="00AB2AF6">
              <w:rPr>
                <w:lang w:val="en"/>
              </w:rPr>
              <w:t>4.9898e-02</w:t>
            </w:r>
          </w:p>
        </w:tc>
      </w:tr>
      <w:tr w:rsidR="00B74B67" w14:paraId="52533A45" w14:textId="77777777" w:rsidTr="00B74B67">
        <w:tc>
          <w:tcPr>
            <w:tcW w:w="1558" w:type="dxa"/>
          </w:tcPr>
          <w:p w14:paraId="7B7D5D1B" w14:textId="77777777" w:rsidR="00B74B67" w:rsidRDefault="00B74B67" w:rsidP="00B74B67">
            <w:pPr>
              <w:jc w:val="center"/>
              <w:rPr>
                <w:lang w:val="en"/>
              </w:rPr>
            </w:pPr>
            <w:r>
              <w:rPr>
                <w:lang w:val="en"/>
              </w:rPr>
              <w:t>34</w:t>
            </w:r>
          </w:p>
        </w:tc>
        <w:tc>
          <w:tcPr>
            <w:tcW w:w="1558" w:type="dxa"/>
          </w:tcPr>
          <w:p w14:paraId="1369C61A" w14:textId="56149D6E" w:rsidR="00B74B67" w:rsidRDefault="00AB2AF6" w:rsidP="00B74B67">
            <w:pPr>
              <w:jc w:val="center"/>
              <w:rPr>
                <w:lang w:val="en"/>
              </w:rPr>
            </w:pPr>
            <w:r w:rsidRPr="00AB2AF6">
              <w:rPr>
                <w:lang w:val="en"/>
              </w:rPr>
              <w:t>1.4230e-01</w:t>
            </w:r>
          </w:p>
        </w:tc>
        <w:tc>
          <w:tcPr>
            <w:tcW w:w="1558" w:type="dxa"/>
          </w:tcPr>
          <w:p w14:paraId="5BE19F7F" w14:textId="4621BF46" w:rsidR="00B74B67" w:rsidRDefault="00AB2AF6" w:rsidP="00B74B67">
            <w:pPr>
              <w:jc w:val="center"/>
              <w:rPr>
                <w:lang w:val="en"/>
              </w:rPr>
            </w:pPr>
            <w:r w:rsidRPr="00AB2AF6">
              <w:rPr>
                <w:lang w:val="en"/>
              </w:rPr>
              <w:t>1.4215e-01</w:t>
            </w:r>
          </w:p>
        </w:tc>
        <w:tc>
          <w:tcPr>
            <w:tcW w:w="1558" w:type="dxa"/>
          </w:tcPr>
          <w:p w14:paraId="79B0B2FC" w14:textId="77777777" w:rsidR="00B74B67" w:rsidRDefault="00537074" w:rsidP="00B74B67">
            <w:pPr>
              <w:jc w:val="center"/>
              <w:rPr>
                <w:lang w:val="en"/>
              </w:rPr>
            </w:pPr>
            <w:r>
              <w:t>0.0225</w:t>
            </w:r>
            <w:r w:rsidRPr="00537074">
              <w:t xml:space="preserve">    </w:t>
            </w:r>
          </w:p>
        </w:tc>
        <w:tc>
          <w:tcPr>
            <w:tcW w:w="1559" w:type="dxa"/>
          </w:tcPr>
          <w:p w14:paraId="0ACF6450" w14:textId="776E3709" w:rsidR="00B74B67" w:rsidRDefault="00AB2AF6" w:rsidP="00B74B67">
            <w:pPr>
              <w:jc w:val="center"/>
              <w:rPr>
                <w:lang w:val="en"/>
              </w:rPr>
            </w:pPr>
            <w:r w:rsidRPr="00AB2AF6">
              <w:rPr>
                <w:lang w:val="en"/>
              </w:rPr>
              <w:t>1.0884e-03</w:t>
            </w:r>
          </w:p>
        </w:tc>
        <w:tc>
          <w:tcPr>
            <w:tcW w:w="1559" w:type="dxa"/>
          </w:tcPr>
          <w:p w14:paraId="514800CB" w14:textId="40726F98" w:rsidR="00B74B67" w:rsidRDefault="00AB2AF6" w:rsidP="00B74B67">
            <w:pPr>
              <w:jc w:val="center"/>
              <w:rPr>
                <w:lang w:val="en"/>
              </w:rPr>
            </w:pPr>
            <w:r w:rsidRPr="00AB2AF6">
              <w:rPr>
                <w:lang w:val="en"/>
              </w:rPr>
              <w:t>4.8372e-02</w:t>
            </w:r>
          </w:p>
        </w:tc>
      </w:tr>
      <w:tr w:rsidR="00B74B67" w14:paraId="0E284A5C" w14:textId="77777777" w:rsidTr="00B74B67">
        <w:tc>
          <w:tcPr>
            <w:tcW w:w="1558" w:type="dxa"/>
          </w:tcPr>
          <w:p w14:paraId="61C0F654" w14:textId="77777777" w:rsidR="00B74B67" w:rsidRDefault="00B74B67" w:rsidP="00B74B67">
            <w:pPr>
              <w:jc w:val="center"/>
              <w:rPr>
                <w:lang w:val="en"/>
              </w:rPr>
            </w:pPr>
            <w:r>
              <w:rPr>
                <w:lang w:val="en"/>
              </w:rPr>
              <w:t>46</w:t>
            </w:r>
          </w:p>
        </w:tc>
        <w:tc>
          <w:tcPr>
            <w:tcW w:w="1558" w:type="dxa"/>
          </w:tcPr>
          <w:p w14:paraId="42B6D313" w14:textId="5B0BECAD" w:rsidR="00B74B67" w:rsidRDefault="005F1F71" w:rsidP="00B74B67">
            <w:pPr>
              <w:jc w:val="center"/>
              <w:rPr>
                <w:lang w:val="en"/>
              </w:rPr>
            </w:pPr>
            <w:r w:rsidRPr="005F1F71">
              <w:rPr>
                <w:lang w:val="en"/>
              </w:rPr>
              <w:t>1.4347e-01</w:t>
            </w:r>
          </w:p>
        </w:tc>
        <w:tc>
          <w:tcPr>
            <w:tcW w:w="1558" w:type="dxa"/>
          </w:tcPr>
          <w:p w14:paraId="7ACC6294" w14:textId="4B99C0E0" w:rsidR="00B74B67" w:rsidRDefault="005F1F71" w:rsidP="00B74B67">
            <w:pPr>
              <w:jc w:val="center"/>
              <w:rPr>
                <w:lang w:val="en"/>
              </w:rPr>
            </w:pPr>
            <w:r w:rsidRPr="005F1F71">
              <w:rPr>
                <w:lang w:val="en"/>
              </w:rPr>
              <w:t>1.4334e-01</w:t>
            </w:r>
          </w:p>
        </w:tc>
        <w:tc>
          <w:tcPr>
            <w:tcW w:w="1558" w:type="dxa"/>
          </w:tcPr>
          <w:p w14:paraId="0DEED070" w14:textId="77777777" w:rsidR="00B74B67" w:rsidRDefault="00981790" w:rsidP="00B74B67">
            <w:pPr>
              <w:jc w:val="center"/>
              <w:rPr>
                <w:lang w:val="en"/>
              </w:rPr>
            </w:pPr>
            <w:r>
              <w:t>0.0187</w:t>
            </w:r>
            <w:r w:rsidRPr="00981790">
              <w:t xml:space="preserve">  </w:t>
            </w:r>
          </w:p>
        </w:tc>
        <w:tc>
          <w:tcPr>
            <w:tcW w:w="1559" w:type="dxa"/>
          </w:tcPr>
          <w:p w14:paraId="1DBF1827" w14:textId="5FF3122D" w:rsidR="00B74B67" w:rsidRDefault="005F1F71" w:rsidP="00B74B67">
            <w:pPr>
              <w:jc w:val="center"/>
              <w:rPr>
                <w:lang w:val="en"/>
              </w:rPr>
            </w:pPr>
            <w:r w:rsidRPr="005F1F71">
              <w:rPr>
                <w:lang w:val="en"/>
              </w:rPr>
              <w:t>9.2414e-04</w:t>
            </w:r>
          </w:p>
        </w:tc>
        <w:tc>
          <w:tcPr>
            <w:tcW w:w="1559" w:type="dxa"/>
          </w:tcPr>
          <w:p w14:paraId="470E643D" w14:textId="43DF74B1" w:rsidR="00B74B67" w:rsidRDefault="00571C09" w:rsidP="00B74B67">
            <w:pPr>
              <w:jc w:val="center"/>
              <w:rPr>
                <w:lang w:val="en"/>
              </w:rPr>
            </w:pPr>
            <w:r w:rsidRPr="00571C09">
              <w:rPr>
                <w:lang w:val="en"/>
              </w:rPr>
              <w:t xml:space="preserve"> 4.9419e-02</w:t>
            </w:r>
          </w:p>
        </w:tc>
      </w:tr>
      <w:tr w:rsidR="00B74B67" w14:paraId="12E6A1BC" w14:textId="77777777" w:rsidTr="00B74B67">
        <w:tc>
          <w:tcPr>
            <w:tcW w:w="1558" w:type="dxa"/>
          </w:tcPr>
          <w:p w14:paraId="3AB968DD" w14:textId="77777777" w:rsidR="00B74B67" w:rsidRDefault="00B74B67" w:rsidP="00B74B67">
            <w:pPr>
              <w:jc w:val="center"/>
              <w:rPr>
                <w:lang w:val="en"/>
              </w:rPr>
            </w:pPr>
            <w:r>
              <w:rPr>
                <w:lang w:val="en"/>
              </w:rPr>
              <w:t>47</w:t>
            </w:r>
          </w:p>
        </w:tc>
        <w:tc>
          <w:tcPr>
            <w:tcW w:w="1558" w:type="dxa"/>
          </w:tcPr>
          <w:p w14:paraId="75F8BE06" w14:textId="159B4251" w:rsidR="00B74B67" w:rsidRDefault="005F1F71" w:rsidP="00B74B67">
            <w:pPr>
              <w:jc w:val="center"/>
              <w:rPr>
                <w:lang w:val="en"/>
              </w:rPr>
            </w:pPr>
            <w:r w:rsidRPr="005F1F71">
              <w:rPr>
                <w:lang w:val="en"/>
              </w:rPr>
              <w:t>1.4279e-01</w:t>
            </w:r>
          </w:p>
        </w:tc>
        <w:tc>
          <w:tcPr>
            <w:tcW w:w="1558" w:type="dxa"/>
          </w:tcPr>
          <w:p w14:paraId="629EE0EB" w14:textId="5A2DEE0D" w:rsidR="00B74B67" w:rsidRDefault="005F1F71" w:rsidP="00B74B67">
            <w:pPr>
              <w:jc w:val="center"/>
              <w:rPr>
                <w:lang w:val="en"/>
              </w:rPr>
            </w:pPr>
            <w:r w:rsidRPr="005F1F71">
              <w:rPr>
                <w:lang w:val="en"/>
              </w:rPr>
              <w:t>1.4266e-01</w:t>
            </w:r>
          </w:p>
        </w:tc>
        <w:tc>
          <w:tcPr>
            <w:tcW w:w="1558" w:type="dxa"/>
          </w:tcPr>
          <w:p w14:paraId="04277137" w14:textId="77777777" w:rsidR="00B74B67" w:rsidRDefault="00981790" w:rsidP="00B74B67">
            <w:pPr>
              <w:jc w:val="center"/>
              <w:rPr>
                <w:lang w:val="en"/>
              </w:rPr>
            </w:pPr>
            <w:r>
              <w:t>0.018</w:t>
            </w:r>
            <w:r>
              <w:rPr>
                <w:lang w:val="en"/>
              </w:rPr>
              <w:t>5</w:t>
            </w:r>
          </w:p>
        </w:tc>
        <w:tc>
          <w:tcPr>
            <w:tcW w:w="1559" w:type="dxa"/>
          </w:tcPr>
          <w:p w14:paraId="782EF649" w14:textId="65167A51" w:rsidR="00B74B67" w:rsidRDefault="005F1F71" w:rsidP="00B74B67">
            <w:pPr>
              <w:jc w:val="center"/>
              <w:rPr>
                <w:lang w:val="en"/>
              </w:rPr>
            </w:pPr>
            <w:r w:rsidRPr="005F1F71">
              <w:rPr>
                <w:lang w:val="en"/>
              </w:rPr>
              <w:t>9.4435e-04</w:t>
            </w:r>
          </w:p>
        </w:tc>
        <w:tc>
          <w:tcPr>
            <w:tcW w:w="1559" w:type="dxa"/>
          </w:tcPr>
          <w:p w14:paraId="3CAB4E46" w14:textId="536492F6" w:rsidR="00B74B67" w:rsidRDefault="00571C09" w:rsidP="00B74B67">
            <w:pPr>
              <w:jc w:val="center"/>
              <w:rPr>
                <w:lang w:val="en"/>
              </w:rPr>
            </w:pPr>
            <w:r w:rsidRPr="00571C09">
              <w:rPr>
                <w:lang w:val="en"/>
              </w:rPr>
              <w:t>5.1046e-02</w:t>
            </w:r>
          </w:p>
        </w:tc>
      </w:tr>
      <w:tr w:rsidR="00571C09" w14:paraId="6B271962" w14:textId="77777777" w:rsidTr="00B74B67">
        <w:tc>
          <w:tcPr>
            <w:tcW w:w="1558" w:type="dxa"/>
          </w:tcPr>
          <w:p w14:paraId="3A93843F" w14:textId="4775A6D7" w:rsidR="00571C09" w:rsidRPr="00571C09" w:rsidRDefault="00571C09" w:rsidP="00B74B67">
            <w:pPr>
              <w:jc w:val="center"/>
              <w:rPr>
                <w:b/>
                <w:lang w:val="en"/>
              </w:rPr>
            </w:pPr>
            <w:r w:rsidRPr="00571C09">
              <w:rPr>
                <w:b/>
                <w:lang w:val="en"/>
              </w:rPr>
              <w:t>Mean</w:t>
            </w:r>
          </w:p>
        </w:tc>
        <w:tc>
          <w:tcPr>
            <w:tcW w:w="1558" w:type="dxa"/>
          </w:tcPr>
          <w:p w14:paraId="48453E93" w14:textId="77777777" w:rsidR="00571C09" w:rsidRPr="005F1F71" w:rsidRDefault="00571C09" w:rsidP="00B74B67">
            <w:pPr>
              <w:jc w:val="center"/>
              <w:rPr>
                <w:lang w:val="en"/>
              </w:rPr>
            </w:pPr>
          </w:p>
        </w:tc>
        <w:tc>
          <w:tcPr>
            <w:tcW w:w="1558" w:type="dxa"/>
          </w:tcPr>
          <w:p w14:paraId="237E7781" w14:textId="77777777" w:rsidR="00571C09" w:rsidRPr="005F1F71" w:rsidRDefault="00571C09" w:rsidP="00B74B67">
            <w:pPr>
              <w:jc w:val="center"/>
              <w:rPr>
                <w:lang w:val="en"/>
              </w:rPr>
            </w:pPr>
          </w:p>
        </w:tc>
        <w:tc>
          <w:tcPr>
            <w:tcW w:w="1558" w:type="dxa"/>
          </w:tcPr>
          <w:p w14:paraId="45BB4B22" w14:textId="77777777" w:rsidR="00571C09" w:rsidRDefault="00571C09" w:rsidP="00B74B67">
            <w:pPr>
              <w:jc w:val="center"/>
            </w:pPr>
          </w:p>
        </w:tc>
        <w:tc>
          <w:tcPr>
            <w:tcW w:w="1559" w:type="dxa"/>
          </w:tcPr>
          <w:p w14:paraId="3D3E24D4" w14:textId="77777777" w:rsidR="00571C09" w:rsidRPr="005F1F71" w:rsidRDefault="00571C09" w:rsidP="00B74B67">
            <w:pPr>
              <w:jc w:val="center"/>
              <w:rPr>
                <w:lang w:val="en"/>
              </w:rPr>
            </w:pPr>
          </w:p>
        </w:tc>
        <w:tc>
          <w:tcPr>
            <w:tcW w:w="1559" w:type="dxa"/>
          </w:tcPr>
          <w:p w14:paraId="1417ABD0" w14:textId="0AB7CF7E" w:rsidR="00571C09" w:rsidRPr="00571C09" w:rsidRDefault="00571C09" w:rsidP="00B74B67">
            <w:pPr>
              <w:jc w:val="center"/>
              <w:rPr>
                <w:lang w:val="en"/>
              </w:rPr>
            </w:pPr>
            <w:r w:rsidRPr="00571C09">
              <w:rPr>
                <w:lang w:val="en"/>
              </w:rPr>
              <w:t>4.9684e-02</w:t>
            </w:r>
          </w:p>
        </w:tc>
      </w:tr>
    </w:tbl>
    <w:p w14:paraId="34D755A8" w14:textId="489FC82D" w:rsidR="00652BCB" w:rsidRDefault="00B74B67" w:rsidP="00652BCB">
      <w:pPr>
        <w:rPr>
          <w:lang w:val="en"/>
        </w:rPr>
      </w:pPr>
      <w:r>
        <w:rPr>
          <w:lang w:val="en"/>
        </w:rPr>
        <w:t xml:space="preserve"> </w:t>
      </w:r>
    </w:p>
    <w:p w14:paraId="34CF480C" w14:textId="0AA3D438" w:rsidR="00571C09" w:rsidRPr="00652BCB" w:rsidRDefault="00A21223" w:rsidP="00652BCB">
      <w:r>
        <w:t>The mean value of the Delta integral per taper value, in mm, allows us to see how well the taper must be known for the ISRDD coil measurements to be unaffected. If the error limit is set to 0.5x10</w:t>
      </w:r>
      <w:r w:rsidRPr="00A21223">
        <w:rPr>
          <w:vertAlign w:val="superscript"/>
        </w:rPr>
        <w:t>-4</w:t>
      </w:r>
      <w:r>
        <w:t xml:space="preserve"> then the ceiling for the taper is  0.5</w:t>
      </w:r>
      <w:r w:rsidRPr="00A21223">
        <w:t>x10</w:t>
      </w:r>
      <w:r w:rsidRPr="00A21223">
        <w:rPr>
          <w:vertAlign w:val="superscript"/>
        </w:rPr>
        <w:t>-4</w:t>
      </w:r>
      <w:r>
        <w:rPr>
          <w:vertAlign w:val="superscript"/>
        </w:rPr>
        <w:t xml:space="preserve"> </w:t>
      </w:r>
      <w:r>
        <w:t>/</w:t>
      </w:r>
      <w:r w:rsidRPr="00A21223">
        <w:rPr>
          <w:lang w:val="en"/>
        </w:rPr>
        <w:t>4.9684e-02</w:t>
      </w:r>
      <w:r>
        <w:rPr>
          <w:lang w:val="en"/>
        </w:rPr>
        <w:t xml:space="preserve">  = </w:t>
      </w:r>
      <w:r w:rsidRPr="00A21223">
        <w:rPr>
          <w:lang w:val="en"/>
        </w:rPr>
        <w:t>1.0064e-03</w:t>
      </w:r>
      <w:r>
        <w:rPr>
          <w:lang w:val="en"/>
        </w:rPr>
        <w:t xml:space="preserve"> mm or 1 micron.  So the taper must be set to less than a micron for the measurements to be unaffected.  </w:t>
      </w:r>
      <w:bookmarkStart w:id="0" w:name="_GoBack"/>
      <w:bookmarkEnd w:id="0"/>
    </w:p>
    <w:sectPr w:rsidR="00571C09" w:rsidRPr="00652B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BCB"/>
    <w:rsid w:val="0032707E"/>
    <w:rsid w:val="004A1630"/>
    <w:rsid w:val="00537074"/>
    <w:rsid w:val="00571C09"/>
    <w:rsid w:val="005F1F71"/>
    <w:rsid w:val="00652BCB"/>
    <w:rsid w:val="00981790"/>
    <w:rsid w:val="00A21223"/>
    <w:rsid w:val="00A44F4A"/>
    <w:rsid w:val="00AB2AF6"/>
    <w:rsid w:val="00AF2CC2"/>
    <w:rsid w:val="00B74B67"/>
    <w:rsid w:val="00C1578D"/>
    <w:rsid w:val="00C80140"/>
    <w:rsid w:val="00E96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B666B"/>
  <w15:chartTrackingRefBased/>
  <w15:docId w15:val="{626DD6EC-8900-4464-92AA-AAF4785E0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pacing w:val="-10"/>
        <w:kern w:val="28"/>
        <w:sz w:val="56"/>
        <w:szCs w:val="5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140"/>
    <w:rPr>
      <w:sz w:val="24"/>
    </w:rPr>
  </w:style>
  <w:style w:type="paragraph" w:styleId="Heading1">
    <w:name w:val="heading 1"/>
    <w:basedOn w:val="Normal"/>
    <w:next w:val="Normal"/>
    <w:link w:val="Heading1Char"/>
    <w:uiPriority w:val="9"/>
    <w:qFormat/>
    <w:rsid w:val="00A44F4A"/>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A44F4A"/>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F4A"/>
    <w:rPr>
      <w:rFonts w:eastAsiaTheme="majorEastAsia" w:cstheme="majorBidi"/>
      <w:sz w:val="32"/>
      <w:szCs w:val="32"/>
    </w:rPr>
  </w:style>
  <w:style w:type="character" w:customStyle="1" w:styleId="Heading2Char">
    <w:name w:val="Heading 2 Char"/>
    <w:basedOn w:val="DefaultParagraphFont"/>
    <w:link w:val="Heading2"/>
    <w:uiPriority w:val="9"/>
    <w:rsid w:val="00A44F4A"/>
    <w:rPr>
      <w:rFonts w:asciiTheme="majorHAnsi" w:eastAsiaTheme="majorEastAsia" w:hAnsiTheme="majorHAnsi" w:cstheme="majorBidi"/>
      <w:sz w:val="26"/>
      <w:szCs w:val="26"/>
    </w:rPr>
  </w:style>
  <w:style w:type="paragraph" w:styleId="Title">
    <w:name w:val="Title"/>
    <w:basedOn w:val="Normal"/>
    <w:next w:val="Normal"/>
    <w:link w:val="TitleChar"/>
    <w:uiPriority w:val="10"/>
    <w:qFormat/>
    <w:rsid w:val="00652BCB"/>
    <w:pPr>
      <w:spacing w:after="0" w:line="240" w:lineRule="auto"/>
      <w:contextualSpacing/>
    </w:pPr>
    <w:rPr>
      <w:rFonts w:asciiTheme="majorHAnsi" w:eastAsiaTheme="majorEastAsia" w:hAnsiTheme="majorHAnsi" w:cstheme="majorBidi"/>
      <w:sz w:val="56"/>
    </w:rPr>
  </w:style>
  <w:style w:type="character" w:customStyle="1" w:styleId="TitleChar">
    <w:name w:val="Title Char"/>
    <w:basedOn w:val="DefaultParagraphFont"/>
    <w:link w:val="Title"/>
    <w:uiPriority w:val="10"/>
    <w:rsid w:val="00652BCB"/>
    <w:rPr>
      <w:rFonts w:asciiTheme="majorHAnsi" w:eastAsiaTheme="majorEastAsia" w:hAnsiTheme="majorHAnsi" w:cstheme="majorBidi"/>
    </w:rPr>
  </w:style>
  <w:style w:type="table" w:styleId="TableGrid">
    <w:name w:val="Table Grid"/>
    <w:basedOn w:val="TableNormal"/>
    <w:uiPriority w:val="39"/>
    <w:rsid w:val="00B74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BB925A2684943A44BB4A286FBBB0B" ma:contentTypeVersion="10" ma:contentTypeDescription="Create a new document." ma:contentTypeScope="" ma:versionID="f118d455d69c87089c69eea6a28f2f24">
  <xsd:schema xmlns:xsd="http://www.w3.org/2001/XMLSchema" xmlns:xs="http://www.w3.org/2001/XMLSchema" xmlns:p="http://schemas.microsoft.com/office/2006/metadata/properties" xmlns:ns3="48faad98-006a-4eda-887f-52efafaed7c5" targetNamespace="http://schemas.microsoft.com/office/2006/metadata/properties" ma:root="true" ma:fieldsID="1898a1f053543428981600a9f7162bb9" ns3:_="">
    <xsd:import namespace="48faad98-006a-4eda-887f-52efafaed7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aad98-006a-4eda-887f-52efafaed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EE3CA3-94CB-4B86-8BDF-C1A989EDE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aad98-006a-4eda-887f-52efafaed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7D2DD0-1E56-441C-A3D6-360D6A30A179}">
  <ds:schemaRefs>
    <ds:schemaRef ds:uri="http://schemas.microsoft.com/sharepoint/v3/contenttype/forms"/>
  </ds:schemaRefs>
</ds:datastoreItem>
</file>

<file path=customXml/itemProps3.xml><?xml version="1.0" encoding="utf-8"?>
<ds:datastoreItem xmlns:ds="http://schemas.openxmlformats.org/officeDocument/2006/customXml" ds:itemID="{7D63F769-1417-468F-BD87-90E695F9EF87}">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48faad98-006a-4eda-887f-52efafaed7c5"/>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SLAC National Accelerator Laboratory</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Scott D.</dc:creator>
  <cp:keywords/>
  <dc:description/>
  <cp:lastModifiedBy>Anderson, Scott D.</cp:lastModifiedBy>
  <cp:revision>2</cp:revision>
  <dcterms:created xsi:type="dcterms:W3CDTF">2020-12-14T20:32:00Z</dcterms:created>
  <dcterms:modified xsi:type="dcterms:W3CDTF">2020-12-15T00:49:00Z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0x010100784BB925A2684943A44BB4A286FBBB0B</vt:lpwstr>
  </property>
</Properties>
</file>