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887DD5" w:rsidRDefault="00C73504" w:rsidP="007B155E">
            <w:pPr>
              <w:jc w:val="center"/>
              <w:rPr>
                <w:b/>
              </w:rPr>
            </w:pPr>
            <w:r w:rsidRPr="00887DD5">
              <w:rPr>
                <w:b/>
              </w:rPr>
              <w:t>QDL11</w:t>
            </w:r>
          </w:p>
        </w:tc>
        <w:tc>
          <w:tcPr>
            <w:tcW w:w="1350" w:type="dxa"/>
            <w:noWrap/>
            <w:hideMark/>
          </w:tcPr>
          <w:p w:rsidR="00C73504" w:rsidRPr="00887DD5" w:rsidRDefault="00C73504" w:rsidP="007B155E">
            <w:pPr>
              <w:spacing w:after="120" w:line="300" w:lineRule="exact"/>
              <w:jc w:val="center"/>
              <w:rPr>
                <w:b/>
              </w:rPr>
            </w:pPr>
            <w:r w:rsidRPr="00887DD5">
              <w:rPr>
                <w:b/>
              </w:rPr>
              <w:t>2Q10</w:t>
            </w:r>
          </w:p>
        </w:tc>
        <w:tc>
          <w:tcPr>
            <w:tcW w:w="2790" w:type="dxa"/>
          </w:tcPr>
          <w:p w:rsidR="00C73504" w:rsidRPr="00887DD5" w:rsidRDefault="00C73504" w:rsidP="007B155E">
            <w:pPr>
              <w:jc w:val="center"/>
              <w:rPr>
                <w:b/>
              </w:rPr>
            </w:pPr>
            <w:r w:rsidRPr="00887DD5">
              <w:rPr>
                <w:b/>
              </w:rPr>
              <w:t>SA-344-113-28</w:t>
            </w:r>
          </w:p>
        </w:tc>
        <w:tc>
          <w:tcPr>
            <w:tcW w:w="1800" w:type="dxa"/>
          </w:tcPr>
          <w:p w:rsidR="00C73504" w:rsidRPr="00887DD5" w:rsidRDefault="00887DD5" w:rsidP="007B155E">
            <w:pPr>
              <w:spacing w:after="120" w:line="300" w:lineRule="exact"/>
              <w:jc w:val="center"/>
              <w:rPr>
                <w:b/>
              </w:rPr>
            </w:pPr>
            <w:r w:rsidRPr="00887DD5">
              <w:rPr>
                <w:b/>
              </w:rPr>
              <w:t>4183</w:t>
            </w:r>
          </w:p>
        </w:tc>
        <w:tc>
          <w:tcPr>
            <w:tcW w:w="1080" w:type="dxa"/>
            <w:noWrap/>
          </w:tcPr>
          <w:p w:rsidR="00C73504" w:rsidRPr="00887DD5" w:rsidRDefault="00D473E8" w:rsidP="007B155E">
            <w:pPr>
              <w:jc w:val="center"/>
              <w:rPr>
                <w:b/>
              </w:rPr>
            </w:pPr>
            <w:r w:rsidRPr="00887DD5">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C73504" w:rsidP="007B155E">
            <w:pPr>
              <w:spacing w:after="120" w:line="300" w:lineRule="exact"/>
              <w:jc w:val="center"/>
            </w:pP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AA5CF1" w:rsidRDefault="00C73504" w:rsidP="007B155E">
            <w:pPr>
              <w:jc w:val="center"/>
            </w:pPr>
            <w:r w:rsidRPr="00AA5CF1">
              <w:t>QDL15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722BC" w:rsidP="000674B0">
            <w:pPr>
              <w:spacing w:after="40" w:line="360" w:lineRule="exact"/>
              <w:jc w:val="center"/>
              <w:rPr>
                <w:szCs w:val="24"/>
              </w:rPr>
            </w:pPr>
            <w:r>
              <w:rPr>
                <w:szCs w:val="24"/>
              </w:rPr>
              <w:t>11/16</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87DD5" w:rsidP="000674B0">
            <w:pPr>
              <w:spacing w:after="40" w:line="360" w:lineRule="exact"/>
              <w:jc w:val="center"/>
              <w:rPr>
                <w:szCs w:val="24"/>
              </w:rPr>
            </w:pPr>
            <w:r>
              <w:rPr>
                <w:szCs w:val="24"/>
              </w:rPr>
              <w:t>4183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722BC" w:rsidP="000674B0">
            <w:pPr>
              <w:spacing w:after="40" w:line="360" w:lineRule="exact"/>
              <w:jc w:val="center"/>
              <w:rPr>
                <w:szCs w:val="24"/>
              </w:rPr>
            </w:pPr>
            <w:r>
              <w:rPr>
                <w:szCs w:val="24"/>
              </w:rPr>
              <w:t>Unknown</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87DD5">
              <w:rPr>
                <w:sz w:val="18"/>
                <w:szCs w:val="18"/>
              </w:rPr>
              <w:t>4183</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87DD5">
              <w:rPr>
                <w:sz w:val="18"/>
                <w:szCs w:val="18"/>
              </w:rPr>
              <w:t>4183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87DD5"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B36D72">
            <w:pPr>
              <w:pStyle w:val="BodyText"/>
              <w:jc w:val="right"/>
            </w:pPr>
            <w:r>
              <w:t xml:space="preserve"> </w:t>
            </w:r>
            <w:r w:rsidR="004722BC">
              <w:t>0.69</w:t>
            </w:r>
            <w:r w:rsidR="00454FF8">
              <w:t xml:space="preserve"> </w:t>
            </w:r>
            <w:proofErr w:type="spellStart"/>
            <w:r w:rsidR="00454FF8">
              <w:t>gpm</w:t>
            </w:r>
            <w:proofErr w:type="spellEnd"/>
            <w:r w:rsidR="00454FF8">
              <w:t xml:space="preserve"> @ 107</w:t>
            </w:r>
            <w:r w:rsidR="00B36D72">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E35FB8" w:rsidP="008569AE">
            <w:pPr>
              <w:spacing w:after="40" w:line="360" w:lineRule="exact"/>
              <w:jc w:val="right"/>
            </w:pPr>
            <w:r>
              <w:t>N/A</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35FB8" w:rsidP="008569AE">
            <w:pPr>
              <w:spacing w:after="40" w:line="360" w:lineRule="exact"/>
              <w:jc w:val="right"/>
            </w:pPr>
            <w:r>
              <w:t xml:space="preserve">21.6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35FB8" w:rsidP="008569AE">
            <w:pPr>
              <w:spacing w:after="40" w:line="360" w:lineRule="exact"/>
              <w:jc w:val="right"/>
            </w:pPr>
            <w:r>
              <w:t xml:space="preserve">28.6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511B01">
            <w:pPr>
              <w:spacing w:after="40" w:line="360" w:lineRule="exact"/>
              <w:jc w:val="both"/>
            </w:pPr>
            <w:r>
              <w:t xml:space="preserve"> </w:t>
            </w:r>
            <w:r w:rsidR="00511B01">
              <w:t>0.487</w:t>
            </w:r>
            <w:r w:rsidR="003D517D">
              <w:t xml:space="preserve"> +/- 0.006 T @ </w:t>
            </w:r>
            <w:r w:rsidR="00511B01">
              <w:t>165.04</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14789" w:rsidP="00063B27">
            <w:pPr>
              <w:spacing w:after="40" w:line="360" w:lineRule="exact"/>
              <w:jc w:val="right"/>
              <w:rPr>
                <w:szCs w:val="24"/>
              </w:rPr>
            </w:pPr>
            <w:r>
              <w:rPr>
                <w:szCs w:val="24"/>
              </w:rPr>
              <w:t xml:space="preserve">4.76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14789" w:rsidP="004722BC">
            <w:pPr>
              <w:spacing w:after="40" w:line="360" w:lineRule="exact"/>
              <w:jc w:val="right"/>
              <w:rPr>
                <w:rFonts w:ascii="Symbol" w:hAnsi="Symbol"/>
                <w:szCs w:val="24"/>
              </w:rPr>
            </w:pPr>
            <w:r>
              <w:rPr>
                <w:szCs w:val="24"/>
              </w:rPr>
              <w:t xml:space="preserve">0.1038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214789" w:rsidP="005F3DEB">
            <w:pPr>
              <w:spacing w:after="40" w:line="360" w:lineRule="exact"/>
              <w:jc w:val="right"/>
              <w:rPr>
                <w:szCs w:val="24"/>
              </w:rPr>
            </w:pPr>
            <w:r>
              <w:rPr>
                <w:szCs w:val="24"/>
              </w:rPr>
              <w:t xml:space="preserve">21.5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A45F7" w:rsidP="004A45F7">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61716A">
              <w:rPr>
                <w:b/>
              </w:rPr>
              <w:t>1</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F0" w:rsidRDefault="005157F0">
      <w:r>
        <w:separator/>
      </w:r>
    </w:p>
  </w:endnote>
  <w:endnote w:type="continuationSeparator" w:id="0">
    <w:p w:rsidR="005157F0" w:rsidRDefault="0051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F0" w:rsidRDefault="005157F0">
      <w:r>
        <w:separator/>
      </w:r>
    </w:p>
  </w:footnote>
  <w:footnote w:type="continuationSeparator" w:id="0">
    <w:p w:rsidR="005157F0" w:rsidRDefault="0051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691B"/>
    <w:rsid w:val="000A4E45"/>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34F4"/>
    <w:rsid w:val="00254A5E"/>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B69FC"/>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2E8D"/>
    <w:rsid w:val="004344FF"/>
    <w:rsid w:val="00435B3D"/>
    <w:rsid w:val="0044247E"/>
    <w:rsid w:val="004436AA"/>
    <w:rsid w:val="00445C6C"/>
    <w:rsid w:val="00447196"/>
    <w:rsid w:val="00453865"/>
    <w:rsid w:val="00454FF8"/>
    <w:rsid w:val="004641E6"/>
    <w:rsid w:val="00464251"/>
    <w:rsid w:val="004722BC"/>
    <w:rsid w:val="0047372C"/>
    <w:rsid w:val="00475008"/>
    <w:rsid w:val="00475CD6"/>
    <w:rsid w:val="004A45F7"/>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1B01"/>
    <w:rsid w:val="00513C68"/>
    <w:rsid w:val="00514535"/>
    <w:rsid w:val="005157F0"/>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1716A"/>
    <w:rsid w:val="00626D60"/>
    <w:rsid w:val="0064076F"/>
    <w:rsid w:val="00640EC4"/>
    <w:rsid w:val="00641372"/>
    <w:rsid w:val="006454A1"/>
    <w:rsid w:val="00645DC5"/>
    <w:rsid w:val="00650D68"/>
    <w:rsid w:val="00651C61"/>
    <w:rsid w:val="00672240"/>
    <w:rsid w:val="00680959"/>
    <w:rsid w:val="00685DDA"/>
    <w:rsid w:val="0069233C"/>
    <w:rsid w:val="00693A4A"/>
    <w:rsid w:val="006A0AFD"/>
    <w:rsid w:val="006A47DB"/>
    <w:rsid w:val="006A5A51"/>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5D1E"/>
    <w:rsid w:val="00937535"/>
    <w:rsid w:val="00944125"/>
    <w:rsid w:val="00962644"/>
    <w:rsid w:val="00962684"/>
    <w:rsid w:val="0096555A"/>
    <w:rsid w:val="00973A4D"/>
    <w:rsid w:val="0098198E"/>
    <w:rsid w:val="00991B45"/>
    <w:rsid w:val="009955D0"/>
    <w:rsid w:val="00997F79"/>
    <w:rsid w:val="009B7B12"/>
    <w:rsid w:val="009D487E"/>
    <w:rsid w:val="009D74F3"/>
    <w:rsid w:val="009E15E4"/>
    <w:rsid w:val="009E683F"/>
    <w:rsid w:val="009F0598"/>
    <w:rsid w:val="009F2E6B"/>
    <w:rsid w:val="009F7052"/>
    <w:rsid w:val="00A02D8C"/>
    <w:rsid w:val="00A05472"/>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A2F99"/>
    <w:rsid w:val="00CB18D6"/>
    <w:rsid w:val="00CB2C1A"/>
    <w:rsid w:val="00CB56A9"/>
    <w:rsid w:val="00CC0227"/>
    <w:rsid w:val="00CC36EB"/>
    <w:rsid w:val="00CE0A3C"/>
    <w:rsid w:val="00CE1D3C"/>
    <w:rsid w:val="00CE2BCE"/>
    <w:rsid w:val="00CF40E4"/>
    <w:rsid w:val="00CF63E9"/>
    <w:rsid w:val="00D014B7"/>
    <w:rsid w:val="00D1031B"/>
    <w:rsid w:val="00D12BB7"/>
    <w:rsid w:val="00D17BB4"/>
    <w:rsid w:val="00D361D7"/>
    <w:rsid w:val="00D43D6F"/>
    <w:rsid w:val="00D4419D"/>
    <w:rsid w:val="00D46F29"/>
    <w:rsid w:val="00D473E8"/>
    <w:rsid w:val="00D5281D"/>
    <w:rsid w:val="00D53CA5"/>
    <w:rsid w:val="00D75F88"/>
    <w:rsid w:val="00D76ADB"/>
    <w:rsid w:val="00D805B0"/>
    <w:rsid w:val="00D82E8B"/>
    <w:rsid w:val="00D8358F"/>
    <w:rsid w:val="00D9596F"/>
    <w:rsid w:val="00DA1D04"/>
    <w:rsid w:val="00DA27CF"/>
    <w:rsid w:val="00DA5765"/>
    <w:rsid w:val="00DA5F0C"/>
    <w:rsid w:val="00DA7B2E"/>
    <w:rsid w:val="00DB23D1"/>
    <w:rsid w:val="00DB2D6F"/>
    <w:rsid w:val="00DB39C2"/>
    <w:rsid w:val="00DB77CC"/>
    <w:rsid w:val="00DC56FB"/>
    <w:rsid w:val="00DD00AF"/>
    <w:rsid w:val="00DF0C3E"/>
    <w:rsid w:val="00DF3D9B"/>
    <w:rsid w:val="00E00F1C"/>
    <w:rsid w:val="00E067F6"/>
    <w:rsid w:val="00E148CB"/>
    <w:rsid w:val="00E2237C"/>
    <w:rsid w:val="00E25C8F"/>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E624A"/>
    <w:rsid w:val="00EF004B"/>
    <w:rsid w:val="00EF6176"/>
    <w:rsid w:val="00F02643"/>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F8D5662-64ED-4FAF-A57C-0DF27B13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4516</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6033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51</cp:revision>
  <cp:lastPrinted>2006-09-26T22:53:00Z</cp:lastPrinted>
  <dcterms:created xsi:type="dcterms:W3CDTF">2018-11-09T21:50:00Z</dcterms:created>
  <dcterms:modified xsi:type="dcterms:W3CDTF">2019-02-15T23:33:00Z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