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57" w:rsidRDefault="00174A57" w:rsidP="00174A57">
      <w:pPr>
        <w:spacing w:after="0"/>
      </w:pPr>
    </w:p>
    <w:p w:rsidR="00174A57" w:rsidRPr="00174A57" w:rsidRDefault="00174A57" w:rsidP="00174A57">
      <w:pPr>
        <w:spacing w:after="0"/>
        <w:rPr>
          <w:b/>
          <w:color w:val="4F81BD" w:themeColor="accent1"/>
        </w:rPr>
      </w:pPr>
      <w:r w:rsidRPr="00174A57">
        <w:rPr>
          <w:b/>
          <w:color w:val="4F81BD" w:themeColor="accent1"/>
        </w:rPr>
        <w:t>Document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6"/>
        <w:gridCol w:w="2460"/>
      </w:tblGrid>
      <w:tr w:rsidR="00174A57" w:rsidTr="0027007F">
        <w:trPr>
          <w:trHeight w:val="917"/>
        </w:trPr>
        <w:tc>
          <w:tcPr>
            <w:tcW w:w="7116" w:type="dxa"/>
          </w:tcPr>
          <w:p w:rsidR="00174A57" w:rsidRPr="00C01166" w:rsidRDefault="00174A57" w:rsidP="001E1145">
            <w:pPr>
              <w:rPr>
                <w:sz w:val="20"/>
              </w:rPr>
            </w:pPr>
            <w:r w:rsidRPr="00C01166">
              <w:rPr>
                <w:sz w:val="20"/>
              </w:rPr>
              <w:t>AD-METSD-Mechanical Fabrication Department Head</w:t>
            </w:r>
          </w:p>
          <w:p w:rsidR="00174A57" w:rsidRPr="00C01166" w:rsidRDefault="00174A57" w:rsidP="001E1145">
            <w:pPr>
              <w:rPr>
                <w:sz w:val="20"/>
              </w:rPr>
            </w:pPr>
          </w:p>
          <w:p w:rsidR="00174A57" w:rsidRPr="00C01166" w:rsidRDefault="00174A57" w:rsidP="001E1145">
            <w:pPr>
              <w:rPr>
                <w:sz w:val="20"/>
              </w:rPr>
            </w:pPr>
          </w:p>
          <w:p w:rsidR="00174A57" w:rsidRPr="00C01166" w:rsidRDefault="00493E02" w:rsidP="001E1145">
            <w:pPr>
              <w:rPr>
                <w:sz w:val="20"/>
              </w:rPr>
            </w:pPr>
            <w:r>
              <w:rPr>
                <w:sz w:val="20"/>
              </w:rPr>
              <w:t>Jim Alwyn</w:t>
            </w:r>
          </w:p>
        </w:tc>
        <w:tc>
          <w:tcPr>
            <w:tcW w:w="2460" w:type="dxa"/>
          </w:tcPr>
          <w:p w:rsidR="00174A57" w:rsidRPr="00C01166" w:rsidRDefault="00174A57" w:rsidP="001E1145">
            <w:pPr>
              <w:rPr>
                <w:sz w:val="20"/>
              </w:rPr>
            </w:pPr>
          </w:p>
          <w:p w:rsidR="00174A57" w:rsidRDefault="00174A57" w:rsidP="001E1145">
            <w:pPr>
              <w:rPr>
                <w:sz w:val="20"/>
              </w:rPr>
            </w:pPr>
          </w:p>
          <w:p w:rsidR="00C01166" w:rsidRPr="00C01166" w:rsidRDefault="00C01166" w:rsidP="001E1145">
            <w:pPr>
              <w:rPr>
                <w:sz w:val="20"/>
              </w:rPr>
            </w:pPr>
          </w:p>
          <w:p w:rsidR="00174A57" w:rsidRPr="00C01166" w:rsidRDefault="00174A57" w:rsidP="001E1145">
            <w:pPr>
              <w:rPr>
                <w:sz w:val="20"/>
              </w:rPr>
            </w:pPr>
            <w:r w:rsidRPr="00C01166">
              <w:rPr>
                <w:sz w:val="20"/>
              </w:rPr>
              <w:t>Date</w:t>
            </w:r>
          </w:p>
        </w:tc>
      </w:tr>
      <w:tr w:rsidR="00174A57" w:rsidRPr="00C01166" w:rsidTr="00174A57">
        <w:trPr>
          <w:trHeight w:val="800"/>
        </w:trPr>
        <w:tc>
          <w:tcPr>
            <w:tcW w:w="7938" w:type="dxa"/>
          </w:tcPr>
          <w:p w:rsidR="00174A57" w:rsidRPr="00C01166" w:rsidRDefault="00174A57" w:rsidP="001E1145">
            <w:pPr>
              <w:rPr>
                <w:sz w:val="20"/>
              </w:rPr>
            </w:pPr>
            <w:r w:rsidRPr="00C01166">
              <w:rPr>
                <w:sz w:val="20"/>
              </w:rPr>
              <w:t>AD-METS Technical Planning Department Head</w:t>
            </w:r>
          </w:p>
          <w:p w:rsidR="00174A57" w:rsidRPr="00C01166" w:rsidRDefault="00174A57" w:rsidP="001E1145">
            <w:pPr>
              <w:rPr>
                <w:sz w:val="20"/>
              </w:rPr>
            </w:pPr>
          </w:p>
          <w:p w:rsidR="00174A57" w:rsidRPr="00C01166" w:rsidRDefault="00174A57" w:rsidP="001E1145">
            <w:pPr>
              <w:rPr>
                <w:sz w:val="20"/>
              </w:rPr>
            </w:pPr>
          </w:p>
          <w:p w:rsidR="00174A57" w:rsidRPr="00C01166" w:rsidRDefault="00174A57" w:rsidP="001E1145">
            <w:pPr>
              <w:rPr>
                <w:sz w:val="20"/>
              </w:rPr>
            </w:pPr>
            <w:r w:rsidRPr="00C01166">
              <w:rPr>
                <w:sz w:val="20"/>
              </w:rPr>
              <w:t xml:space="preserve">Kathleen Ratcliffe </w:t>
            </w:r>
          </w:p>
        </w:tc>
        <w:tc>
          <w:tcPr>
            <w:tcW w:w="2718" w:type="dxa"/>
          </w:tcPr>
          <w:p w:rsidR="00174A57" w:rsidRPr="00C01166" w:rsidRDefault="00174A57" w:rsidP="001E1145">
            <w:pPr>
              <w:rPr>
                <w:sz w:val="20"/>
              </w:rPr>
            </w:pPr>
          </w:p>
          <w:p w:rsidR="00174A57" w:rsidRPr="00C01166" w:rsidRDefault="00174A57" w:rsidP="001E1145">
            <w:pPr>
              <w:rPr>
                <w:sz w:val="20"/>
              </w:rPr>
            </w:pPr>
          </w:p>
          <w:p w:rsidR="00174A57" w:rsidRPr="00C01166" w:rsidRDefault="00174A57" w:rsidP="001E1145">
            <w:pPr>
              <w:rPr>
                <w:sz w:val="20"/>
              </w:rPr>
            </w:pPr>
          </w:p>
          <w:p w:rsidR="00174A57" w:rsidRPr="00C01166" w:rsidRDefault="00174A57" w:rsidP="001E1145">
            <w:pPr>
              <w:rPr>
                <w:sz w:val="20"/>
              </w:rPr>
            </w:pPr>
            <w:r w:rsidRPr="00C01166">
              <w:rPr>
                <w:sz w:val="20"/>
              </w:rPr>
              <w:t>Date</w:t>
            </w:r>
          </w:p>
        </w:tc>
      </w:tr>
      <w:tr w:rsidR="00C01166" w:rsidTr="003E6E88">
        <w:trPr>
          <w:trHeight w:val="917"/>
        </w:trPr>
        <w:tc>
          <w:tcPr>
            <w:tcW w:w="7938" w:type="dxa"/>
          </w:tcPr>
          <w:p w:rsidR="00C01166" w:rsidRPr="00C01166" w:rsidRDefault="00C01166" w:rsidP="003E6E88">
            <w:pPr>
              <w:rPr>
                <w:sz w:val="20"/>
              </w:rPr>
            </w:pPr>
            <w:r w:rsidRPr="00C01166">
              <w:rPr>
                <w:sz w:val="20"/>
              </w:rPr>
              <w:t xml:space="preserve">AD-METSD-Mechanical </w:t>
            </w:r>
            <w:r>
              <w:rPr>
                <w:sz w:val="20"/>
              </w:rPr>
              <w:t xml:space="preserve">Engineering </w:t>
            </w:r>
            <w:r w:rsidRPr="00C01166">
              <w:rPr>
                <w:sz w:val="20"/>
              </w:rPr>
              <w:t>Department Head</w:t>
            </w:r>
          </w:p>
          <w:p w:rsidR="00C01166" w:rsidRPr="00C01166" w:rsidRDefault="00C01166" w:rsidP="003E6E88">
            <w:pPr>
              <w:rPr>
                <w:sz w:val="20"/>
              </w:rPr>
            </w:pPr>
          </w:p>
          <w:p w:rsidR="00C01166" w:rsidRPr="00C01166" w:rsidRDefault="00C01166" w:rsidP="003E6E88">
            <w:pPr>
              <w:rPr>
                <w:sz w:val="20"/>
              </w:rPr>
            </w:pPr>
          </w:p>
          <w:p w:rsidR="00C01166" w:rsidRPr="00C01166" w:rsidRDefault="00C01166" w:rsidP="003E6E88">
            <w:pPr>
              <w:rPr>
                <w:sz w:val="20"/>
              </w:rPr>
            </w:pPr>
            <w:r>
              <w:rPr>
                <w:sz w:val="20"/>
              </w:rPr>
              <w:t>Scott DeBarger</w:t>
            </w:r>
          </w:p>
        </w:tc>
        <w:tc>
          <w:tcPr>
            <w:tcW w:w="2718" w:type="dxa"/>
          </w:tcPr>
          <w:p w:rsidR="00C01166" w:rsidRPr="00C01166" w:rsidRDefault="00C01166" w:rsidP="003E6E88">
            <w:pPr>
              <w:rPr>
                <w:sz w:val="20"/>
              </w:rPr>
            </w:pPr>
          </w:p>
          <w:p w:rsidR="00C01166" w:rsidRDefault="00C01166" w:rsidP="003E6E88">
            <w:pPr>
              <w:rPr>
                <w:sz w:val="20"/>
              </w:rPr>
            </w:pPr>
          </w:p>
          <w:p w:rsidR="00C01166" w:rsidRPr="00C01166" w:rsidRDefault="00C01166" w:rsidP="003E6E88">
            <w:pPr>
              <w:rPr>
                <w:sz w:val="20"/>
              </w:rPr>
            </w:pPr>
          </w:p>
          <w:p w:rsidR="00C01166" w:rsidRPr="00C01166" w:rsidRDefault="00C01166" w:rsidP="003E6E88">
            <w:pPr>
              <w:rPr>
                <w:sz w:val="20"/>
              </w:rPr>
            </w:pPr>
            <w:r w:rsidRPr="00C01166">
              <w:rPr>
                <w:sz w:val="20"/>
              </w:rPr>
              <w:t>Date</w:t>
            </w:r>
          </w:p>
        </w:tc>
      </w:tr>
      <w:tr w:rsidR="00174A57" w:rsidRPr="00C01166" w:rsidTr="00174A57">
        <w:trPr>
          <w:trHeight w:val="710"/>
        </w:trPr>
        <w:tc>
          <w:tcPr>
            <w:tcW w:w="7938" w:type="dxa"/>
          </w:tcPr>
          <w:p w:rsidR="00174A57" w:rsidRPr="00C01166" w:rsidRDefault="0027007F" w:rsidP="00174A57">
            <w:pPr>
              <w:rPr>
                <w:sz w:val="20"/>
              </w:rPr>
            </w:pPr>
            <w:r>
              <w:rPr>
                <w:sz w:val="20"/>
              </w:rPr>
              <w:t>AD-METS Metrology Department Head</w:t>
            </w:r>
          </w:p>
          <w:p w:rsidR="00174A57" w:rsidRPr="00C01166" w:rsidRDefault="00174A57" w:rsidP="00174A57">
            <w:pPr>
              <w:rPr>
                <w:sz w:val="20"/>
              </w:rPr>
            </w:pPr>
          </w:p>
          <w:p w:rsidR="00174A57" w:rsidRPr="00C01166" w:rsidRDefault="00174A57" w:rsidP="00174A57">
            <w:pPr>
              <w:rPr>
                <w:sz w:val="20"/>
              </w:rPr>
            </w:pPr>
          </w:p>
          <w:p w:rsidR="00174A57" w:rsidRPr="00C01166" w:rsidRDefault="0027007F" w:rsidP="00174A57">
            <w:pPr>
              <w:rPr>
                <w:sz w:val="20"/>
              </w:rPr>
            </w:pPr>
            <w:r>
              <w:rPr>
                <w:sz w:val="20"/>
              </w:rPr>
              <w:t>Georg Gassner</w:t>
            </w:r>
          </w:p>
        </w:tc>
        <w:tc>
          <w:tcPr>
            <w:tcW w:w="2718" w:type="dxa"/>
          </w:tcPr>
          <w:p w:rsidR="00174A57" w:rsidRPr="00C01166" w:rsidRDefault="00174A57" w:rsidP="00174A57">
            <w:pPr>
              <w:rPr>
                <w:sz w:val="20"/>
              </w:rPr>
            </w:pPr>
          </w:p>
          <w:p w:rsidR="00174A57" w:rsidRPr="00C01166" w:rsidRDefault="00174A57" w:rsidP="00174A57">
            <w:pPr>
              <w:rPr>
                <w:sz w:val="20"/>
              </w:rPr>
            </w:pPr>
          </w:p>
          <w:p w:rsidR="00174A57" w:rsidRPr="00C01166" w:rsidRDefault="00174A57" w:rsidP="00174A57">
            <w:pPr>
              <w:rPr>
                <w:sz w:val="20"/>
              </w:rPr>
            </w:pPr>
          </w:p>
          <w:p w:rsidR="00174A57" w:rsidRPr="00C01166" w:rsidRDefault="00174A57" w:rsidP="00174A57">
            <w:pPr>
              <w:rPr>
                <w:sz w:val="20"/>
              </w:rPr>
            </w:pPr>
            <w:r w:rsidRPr="00C01166">
              <w:rPr>
                <w:sz w:val="20"/>
              </w:rPr>
              <w:t>Date</w:t>
            </w:r>
          </w:p>
        </w:tc>
      </w:tr>
      <w:tr w:rsidR="0027007F" w:rsidRPr="00C01166" w:rsidTr="0027007F">
        <w:trPr>
          <w:trHeight w:val="710"/>
        </w:trPr>
        <w:tc>
          <w:tcPr>
            <w:tcW w:w="7938" w:type="dxa"/>
          </w:tcPr>
          <w:p w:rsidR="0027007F" w:rsidRPr="00C01166" w:rsidRDefault="0027007F" w:rsidP="00804A3C">
            <w:pPr>
              <w:rPr>
                <w:sz w:val="20"/>
              </w:rPr>
            </w:pPr>
            <w:r w:rsidRPr="00C01166">
              <w:rPr>
                <w:sz w:val="20"/>
              </w:rPr>
              <w:t>AD-METS Division Director</w:t>
            </w:r>
          </w:p>
          <w:p w:rsidR="0027007F" w:rsidRPr="00C01166" w:rsidRDefault="0027007F" w:rsidP="00804A3C">
            <w:pPr>
              <w:rPr>
                <w:sz w:val="20"/>
              </w:rPr>
            </w:pPr>
          </w:p>
          <w:p w:rsidR="0027007F" w:rsidRPr="00C01166" w:rsidRDefault="0027007F" w:rsidP="00804A3C">
            <w:pPr>
              <w:rPr>
                <w:sz w:val="20"/>
              </w:rPr>
            </w:pPr>
          </w:p>
          <w:p w:rsidR="0027007F" w:rsidRPr="00C01166" w:rsidRDefault="0027007F" w:rsidP="00804A3C">
            <w:pPr>
              <w:rPr>
                <w:sz w:val="20"/>
              </w:rPr>
            </w:pPr>
            <w:r w:rsidRPr="00C01166">
              <w:rPr>
                <w:sz w:val="20"/>
              </w:rPr>
              <w:t>Lydia J. Young</w:t>
            </w:r>
          </w:p>
        </w:tc>
        <w:tc>
          <w:tcPr>
            <w:tcW w:w="2718" w:type="dxa"/>
          </w:tcPr>
          <w:p w:rsidR="0027007F" w:rsidRPr="00C01166" w:rsidRDefault="0027007F" w:rsidP="00804A3C">
            <w:pPr>
              <w:rPr>
                <w:sz w:val="20"/>
              </w:rPr>
            </w:pPr>
          </w:p>
          <w:p w:rsidR="0027007F" w:rsidRPr="00C01166" w:rsidRDefault="0027007F" w:rsidP="00804A3C">
            <w:pPr>
              <w:rPr>
                <w:sz w:val="20"/>
              </w:rPr>
            </w:pPr>
          </w:p>
          <w:p w:rsidR="0027007F" w:rsidRPr="00C01166" w:rsidRDefault="0027007F" w:rsidP="00804A3C">
            <w:pPr>
              <w:rPr>
                <w:sz w:val="20"/>
              </w:rPr>
            </w:pPr>
          </w:p>
          <w:p w:rsidR="0027007F" w:rsidRPr="00C01166" w:rsidRDefault="0027007F" w:rsidP="00804A3C">
            <w:pPr>
              <w:rPr>
                <w:sz w:val="20"/>
              </w:rPr>
            </w:pPr>
            <w:r w:rsidRPr="00C01166">
              <w:rPr>
                <w:sz w:val="20"/>
              </w:rPr>
              <w:t>Date</w:t>
            </w:r>
          </w:p>
        </w:tc>
      </w:tr>
    </w:tbl>
    <w:p w:rsidR="00174A57" w:rsidRDefault="00174A57"/>
    <w:p w:rsidR="0027007F" w:rsidRDefault="0027007F"/>
    <w:p w:rsidR="00174A57" w:rsidRPr="00174A57" w:rsidRDefault="00174A57" w:rsidP="00174A57">
      <w:pPr>
        <w:spacing w:after="0"/>
        <w:rPr>
          <w:b/>
          <w:color w:val="4F81BD" w:themeColor="accent1"/>
        </w:rPr>
      </w:pPr>
      <w:r w:rsidRPr="00174A57">
        <w:rPr>
          <w:b/>
          <w:color w:val="4F81BD" w:themeColor="accent1"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0"/>
        <w:gridCol w:w="1443"/>
        <w:gridCol w:w="1637"/>
        <w:gridCol w:w="5126"/>
      </w:tblGrid>
      <w:tr w:rsidR="00174A57" w:rsidRPr="00C01166" w:rsidTr="00174A57">
        <w:tc>
          <w:tcPr>
            <w:tcW w:w="1458" w:type="dxa"/>
          </w:tcPr>
          <w:p w:rsidR="00174A57" w:rsidRPr="00C01166" w:rsidRDefault="00174A57">
            <w:pPr>
              <w:rPr>
                <w:sz w:val="20"/>
              </w:rPr>
            </w:pPr>
            <w:r w:rsidRPr="00C01166">
              <w:rPr>
                <w:sz w:val="20"/>
              </w:rPr>
              <w:t>Revision</w:t>
            </w:r>
          </w:p>
        </w:tc>
        <w:tc>
          <w:tcPr>
            <w:tcW w:w="1530" w:type="dxa"/>
          </w:tcPr>
          <w:p w:rsidR="00174A57" w:rsidRPr="00C01166" w:rsidRDefault="00174A57">
            <w:pPr>
              <w:rPr>
                <w:sz w:val="20"/>
              </w:rPr>
            </w:pPr>
            <w:r w:rsidRPr="00C01166">
              <w:rPr>
                <w:sz w:val="20"/>
              </w:rPr>
              <w:t>Date</w:t>
            </w:r>
          </w:p>
        </w:tc>
        <w:tc>
          <w:tcPr>
            <w:tcW w:w="1800" w:type="dxa"/>
          </w:tcPr>
          <w:p w:rsidR="00174A57" w:rsidRPr="00C01166" w:rsidRDefault="00174A57">
            <w:pPr>
              <w:rPr>
                <w:sz w:val="20"/>
              </w:rPr>
            </w:pPr>
            <w:r w:rsidRPr="00C01166">
              <w:rPr>
                <w:sz w:val="20"/>
              </w:rPr>
              <w:t>By Whom</w:t>
            </w:r>
          </w:p>
        </w:tc>
        <w:tc>
          <w:tcPr>
            <w:tcW w:w="5868" w:type="dxa"/>
          </w:tcPr>
          <w:p w:rsidR="00174A57" w:rsidRPr="00C01166" w:rsidRDefault="00174A57">
            <w:pPr>
              <w:rPr>
                <w:sz w:val="20"/>
              </w:rPr>
            </w:pPr>
            <w:r w:rsidRPr="00C01166">
              <w:rPr>
                <w:sz w:val="20"/>
              </w:rPr>
              <w:t>Description</w:t>
            </w:r>
          </w:p>
        </w:tc>
      </w:tr>
      <w:tr w:rsidR="00174A57" w:rsidRPr="00C01166" w:rsidTr="00174A57">
        <w:tc>
          <w:tcPr>
            <w:tcW w:w="1458" w:type="dxa"/>
          </w:tcPr>
          <w:p w:rsidR="00174A57" w:rsidRPr="00C01166" w:rsidRDefault="00174A57">
            <w:pPr>
              <w:rPr>
                <w:sz w:val="20"/>
              </w:rPr>
            </w:pPr>
            <w:r w:rsidRPr="00C01166">
              <w:rPr>
                <w:sz w:val="20"/>
              </w:rPr>
              <w:t>0</w:t>
            </w:r>
          </w:p>
        </w:tc>
        <w:tc>
          <w:tcPr>
            <w:tcW w:w="1530" w:type="dxa"/>
          </w:tcPr>
          <w:p w:rsidR="00174A57" w:rsidRPr="00C01166" w:rsidRDefault="00493E02">
            <w:pPr>
              <w:rPr>
                <w:sz w:val="20"/>
              </w:rPr>
            </w:pPr>
            <w:r>
              <w:rPr>
                <w:sz w:val="20"/>
              </w:rPr>
              <w:t>1/4/2017</w:t>
            </w:r>
          </w:p>
        </w:tc>
        <w:tc>
          <w:tcPr>
            <w:tcW w:w="1800" w:type="dxa"/>
          </w:tcPr>
          <w:p w:rsidR="00174A57" w:rsidRPr="00C01166" w:rsidRDefault="00174A57">
            <w:pPr>
              <w:rPr>
                <w:sz w:val="20"/>
              </w:rPr>
            </w:pPr>
            <w:r w:rsidRPr="00C01166">
              <w:rPr>
                <w:sz w:val="20"/>
              </w:rPr>
              <w:t>L. J. Young</w:t>
            </w:r>
          </w:p>
        </w:tc>
        <w:tc>
          <w:tcPr>
            <w:tcW w:w="5868" w:type="dxa"/>
          </w:tcPr>
          <w:p w:rsidR="00174A57" w:rsidRPr="00C01166" w:rsidRDefault="00174A57">
            <w:pPr>
              <w:rPr>
                <w:sz w:val="20"/>
              </w:rPr>
            </w:pPr>
            <w:r w:rsidRPr="00C01166">
              <w:rPr>
                <w:sz w:val="20"/>
              </w:rPr>
              <w:t>Initial</w:t>
            </w:r>
          </w:p>
        </w:tc>
      </w:tr>
      <w:tr w:rsidR="00174A57" w:rsidRPr="00C01166" w:rsidTr="00174A57">
        <w:tc>
          <w:tcPr>
            <w:tcW w:w="1458" w:type="dxa"/>
          </w:tcPr>
          <w:p w:rsidR="00174A57" w:rsidRPr="00C01166" w:rsidRDefault="00174A57">
            <w:pPr>
              <w:rPr>
                <w:sz w:val="20"/>
              </w:rPr>
            </w:pPr>
          </w:p>
        </w:tc>
        <w:tc>
          <w:tcPr>
            <w:tcW w:w="1530" w:type="dxa"/>
          </w:tcPr>
          <w:p w:rsidR="00174A57" w:rsidRPr="00C01166" w:rsidRDefault="00174A57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174A57" w:rsidRPr="00C01166" w:rsidRDefault="00174A57">
            <w:pPr>
              <w:rPr>
                <w:sz w:val="20"/>
              </w:rPr>
            </w:pPr>
          </w:p>
        </w:tc>
        <w:tc>
          <w:tcPr>
            <w:tcW w:w="5868" w:type="dxa"/>
          </w:tcPr>
          <w:p w:rsidR="00174A57" w:rsidRPr="00C01166" w:rsidRDefault="00174A57">
            <w:pPr>
              <w:rPr>
                <w:sz w:val="20"/>
              </w:rPr>
            </w:pPr>
          </w:p>
        </w:tc>
      </w:tr>
      <w:tr w:rsidR="00174A57" w:rsidRPr="00C01166" w:rsidTr="00174A57">
        <w:tc>
          <w:tcPr>
            <w:tcW w:w="1458" w:type="dxa"/>
          </w:tcPr>
          <w:p w:rsidR="00174A57" w:rsidRPr="00C01166" w:rsidRDefault="00174A57">
            <w:pPr>
              <w:rPr>
                <w:sz w:val="20"/>
              </w:rPr>
            </w:pPr>
          </w:p>
        </w:tc>
        <w:tc>
          <w:tcPr>
            <w:tcW w:w="1530" w:type="dxa"/>
          </w:tcPr>
          <w:p w:rsidR="00174A57" w:rsidRPr="00C01166" w:rsidRDefault="00174A57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174A57" w:rsidRPr="00C01166" w:rsidRDefault="00174A57">
            <w:pPr>
              <w:rPr>
                <w:sz w:val="20"/>
              </w:rPr>
            </w:pPr>
          </w:p>
        </w:tc>
        <w:tc>
          <w:tcPr>
            <w:tcW w:w="5868" w:type="dxa"/>
          </w:tcPr>
          <w:p w:rsidR="00174A57" w:rsidRPr="00C01166" w:rsidRDefault="00174A57">
            <w:pPr>
              <w:rPr>
                <w:sz w:val="20"/>
              </w:rPr>
            </w:pPr>
          </w:p>
        </w:tc>
      </w:tr>
    </w:tbl>
    <w:p w:rsidR="00174A57" w:rsidRDefault="00174A57"/>
    <w:p w:rsidR="00174A57" w:rsidRDefault="00174A57"/>
    <w:p w:rsidR="00174A57" w:rsidRDefault="00174A57"/>
    <w:p w:rsidR="00174A57" w:rsidRDefault="00174A57">
      <w:r>
        <w:br w:type="page"/>
      </w:r>
    </w:p>
    <w:p w:rsidR="0092365F" w:rsidRPr="0092365F" w:rsidRDefault="0092365F" w:rsidP="0092365F">
      <w:pPr>
        <w:spacing w:before="240" w:after="0"/>
        <w:jc w:val="center"/>
        <w:rPr>
          <w:b/>
          <w:sz w:val="28"/>
        </w:rPr>
      </w:pPr>
      <w:r w:rsidRPr="0092365F">
        <w:rPr>
          <w:b/>
          <w:sz w:val="28"/>
        </w:rPr>
        <w:lastRenderedPageBreak/>
        <w:t>Process for Nonconformance Reporting (NCR)</w:t>
      </w:r>
    </w:p>
    <w:p w:rsidR="00174A57" w:rsidRPr="00493E02" w:rsidRDefault="0040552C" w:rsidP="00493E02">
      <w:pPr>
        <w:pStyle w:val="Heading1"/>
      </w:pPr>
      <w:r w:rsidRPr="00493E02">
        <w:t>Purpose</w:t>
      </w:r>
    </w:p>
    <w:p w:rsidR="0040552C" w:rsidRDefault="0040552C" w:rsidP="0040552C">
      <w:r>
        <w:t xml:space="preserve">This document explains the process for reporting nonconformities that may arise during the fabrication of SLAC parts and assemblies.  This process is applicable to work performed </w:t>
      </w:r>
      <w:r w:rsidR="00C01166">
        <w:t>at</w:t>
      </w:r>
      <w:r>
        <w:t xml:space="preserve"> SLAC and by external vendors hired by SLAC.  </w:t>
      </w:r>
      <w:bookmarkStart w:id="0" w:name="_GoBack"/>
      <w:bookmarkEnd w:id="0"/>
    </w:p>
    <w:p w:rsidR="003F33CC" w:rsidRDefault="003F33CC" w:rsidP="003F33CC">
      <w:pPr>
        <w:pStyle w:val="Heading1"/>
      </w:pPr>
      <w:r>
        <w:t>Applicability</w:t>
      </w:r>
    </w:p>
    <w:p w:rsidR="003F33CC" w:rsidRPr="003F33CC" w:rsidRDefault="003F33CC" w:rsidP="003F33CC">
      <w:r>
        <w:t xml:space="preserve">This process minimally applies </w:t>
      </w:r>
      <w:r w:rsidR="00C01166">
        <w:t>to SLAC Mechanical Fabrication s</w:t>
      </w:r>
      <w:r>
        <w:t xml:space="preserve">hops.  It may be adapted by any other SLAC shops.  High formality projects (as defined in the Accelerator Directorate Conduct of Engineering Implementation Plan, </w:t>
      </w:r>
      <w:r w:rsidR="00251FF4">
        <w:t>SLAC-I-020-101-002-00</w:t>
      </w:r>
      <w:r>
        <w:t xml:space="preserve">) may elect to include additional controls (for example, requiring oversight by a </w:t>
      </w:r>
      <w:r w:rsidR="00C01166">
        <w:t xml:space="preserve">project-defined </w:t>
      </w:r>
      <w:r>
        <w:t>Change Control Board).</w:t>
      </w:r>
    </w:p>
    <w:p w:rsidR="0040552C" w:rsidRPr="0040552C" w:rsidRDefault="003F33CC" w:rsidP="0040552C">
      <w:pPr>
        <w:pStyle w:val="Heading1"/>
      </w:pPr>
      <w:r>
        <w:t>Objective</w:t>
      </w:r>
    </w:p>
    <w:p w:rsidR="0040552C" w:rsidRDefault="003F33CC" w:rsidP="0040552C">
      <w:r>
        <w:t xml:space="preserve">Non-conforming parts or assemblies are those that do not comply with drawings, specifications, requirements, traveler, or assembly procedures.  </w:t>
      </w:r>
      <w:r w:rsidR="0040552C">
        <w:t xml:space="preserve">These must be identified as being non-conforming and be separated for disposition. </w:t>
      </w:r>
      <w:r w:rsidR="00A24EB5">
        <w:t xml:space="preserve"> The classes of disposition are:</w:t>
      </w:r>
      <w:r w:rsidR="0040552C">
        <w:t xml:space="preserve"> </w:t>
      </w:r>
    </w:p>
    <w:p w:rsidR="0040552C" w:rsidRDefault="0040552C" w:rsidP="0040552C">
      <w:pPr>
        <w:numPr>
          <w:ilvl w:val="2"/>
          <w:numId w:val="4"/>
        </w:numPr>
        <w:tabs>
          <w:tab w:val="left" w:pos="900"/>
        </w:tabs>
        <w:spacing w:after="120"/>
        <w:ind w:left="720" w:hanging="360"/>
      </w:pPr>
      <w:r w:rsidRPr="003F33CC">
        <w:rPr>
          <w:b/>
          <w:u w:val="single"/>
        </w:rPr>
        <w:t>Use as-is</w:t>
      </w:r>
      <w:r>
        <w:t xml:space="preserve">:  If non-conforming parts are kept for use, then they need to be tagged and/or marked to match the </w:t>
      </w:r>
      <w:r w:rsidRPr="00493E02">
        <w:t>version of revised or red-lined design documentation.  These are considered deviations and DEV forms must be completed and accompanied by red-lines and other supporting documentation.</w:t>
      </w:r>
    </w:p>
    <w:p w:rsidR="0040552C" w:rsidRPr="00493E02" w:rsidRDefault="0040552C" w:rsidP="0040552C">
      <w:pPr>
        <w:numPr>
          <w:ilvl w:val="2"/>
          <w:numId w:val="4"/>
        </w:numPr>
        <w:tabs>
          <w:tab w:val="left" w:pos="900"/>
        </w:tabs>
        <w:spacing w:after="120"/>
        <w:ind w:left="720" w:hanging="360"/>
      </w:pPr>
      <w:r w:rsidRPr="003F33CC">
        <w:rPr>
          <w:b/>
          <w:u w:val="single"/>
        </w:rPr>
        <w:t>Rework</w:t>
      </w:r>
      <w:r>
        <w:t>: If non-conforming parts are kept and re-worked</w:t>
      </w:r>
      <w:r w:rsidR="003F33CC">
        <w:t xml:space="preserve"> or repaired</w:t>
      </w:r>
      <w:r>
        <w:t xml:space="preserve"> to make usable, but are not identical to the design of record, then the parts need to be tagged and/or marked to match </w:t>
      </w:r>
      <w:r w:rsidRPr="00493E02">
        <w:t>the version of the revised or red-lined design documentation.  These are considered deviations and DEV forms must be completed and accompanied by red-lines and other supporting documentation.</w:t>
      </w:r>
    </w:p>
    <w:p w:rsidR="0040552C" w:rsidRDefault="003F33CC" w:rsidP="0040552C">
      <w:pPr>
        <w:numPr>
          <w:ilvl w:val="2"/>
          <w:numId w:val="4"/>
        </w:numPr>
        <w:tabs>
          <w:tab w:val="left" w:pos="900"/>
        </w:tabs>
        <w:spacing w:after="120"/>
        <w:ind w:left="720" w:hanging="360"/>
      </w:pPr>
      <w:r>
        <w:rPr>
          <w:b/>
          <w:u w:val="single"/>
        </w:rPr>
        <w:t>Reject:</w:t>
      </w:r>
      <w:r w:rsidR="00A24EB5">
        <w:rPr>
          <w:b/>
          <w:u w:val="single"/>
        </w:rPr>
        <w:t xml:space="preserve"> </w:t>
      </w:r>
      <w:r w:rsidR="0040552C">
        <w:t xml:space="preserve">If non-conforming parts are scrapped, they need to be tagged and/or marked accordingly, and then segregated and then disposed of so that there is no possibility of use in the </w:t>
      </w:r>
      <w:r w:rsidR="00A24EB5">
        <w:t>final project or system</w:t>
      </w:r>
      <w:r w:rsidR="0040552C">
        <w:t xml:space="preserve">. </w:t>
      </w:r>
    </w:p>
    <w:p w:rsidR="00A24EB5" w:rsidRDefault="00A24EB5" w:rsidP="00A24EB5">
      <w:r w:rsidRPr="005543AF">
        <w:t xml:space="preserve">Non-conformances can be determined by the supplier or by </w:t>
      </w:r>
      <w:r>
        <w:t>SLAC</w:t>
      </w:r>
      <w:r w:rsidRPr="005543AF">
        <w:t xml:space="preserve"> staff.  </w:t>
      </w:r>
    </w:p>
    <w:p w:rsidR="00A24EB5" w:rsidRDefault="00A24EB5" w:rsidP="00A24EB5">
      <w:pPr>
        <w:pStyle w:val="Heading1"/>
      </w:pPr>
      <w:r>
        <w:t>Process</w:t>
      </w:r>
    </w:p>
    <w:p w:rsidR="00783AA8" w:rsidRPr="00783AA8" w:rsidRDefault="00783AA8" w:rsidP="00783AA8">
      <w:pPr>
        <w:pStyle w:val="Heading2"/>
        <w:rPr>
          <w:sz w:val="24"/>
        </w:rPr>
      </w:pPr>
      <w:r w:rsidRPr="00783AA8">
        <w:rPr>
          <w:sz w:val="24"/>
        </w:rPr>
        <w:t>Submitting and Processing a Nonconformance Report</w:t>
      </w:r>
    </w:p>
    <w:p w:rsidR="00C01166" w:rsidRDefault="00755D0F" w:rsidP="00755D0F">
      <w:r>
        <w:t xml:space="preserve">Figure 1 illustrates the process to be followed when </w:t>
      </w:r>
      <w:proofErr w:type="gramStart"/>
      <w:r>
        <w:t>a nonconformity</w:t>
      </w:r>
      <w:proofErr w:type="gramEnd"/>
      <w:r>
        <w:t xml:space="preserve"> is identified.  </w:t>
      </w:r>
      <w:r w:rsidR="00A24EB5">
        <w:t>A</w:t>
      </w:r>
      <w:r w:rsidR="00A24EB5" w:rsidRPr="005543AF">
        <w:t xml:space="preserve"> nonconformance report (NCR</w:t>
      </w:r>
      <w:r w:rsidR="00251FF4">
        <w:t xml:space="preserve">), Form #SLAC-I-020-701-002-00, </w:t>
      </w:r>
      <w:r w:rsidR="00A24EB5" w:rsidRPr="005543AF">
        <w:t xml:space="preserve">must be </w:t>
      </w:r>
      <w:r>
        <w:t>initiated</w:t>
      </w:r>
      <w:r w:rsidR="00A24EB5" w:rsidRPr="005543AF">
        <w:t xml:space="preserve"> by the discoverer</w:t>
      </w:r>
      <w:r w:rsidR="00C01166">
        <w:t xml:space="preserve"> and submitted to the Responsible Engineer.  The </w:t>
      </w:r>
      <w:r w:rsidR="006406AD">
        <w:t>Responsible E</w:t>
      </w:r>
      <w:r w:rsidR="00C01166">
        <w:t xml:space="preserve">ngineer reviews and acknowledges the NCR (and if applicable, notifies the supplier and requests supplier review and acknowledgement).  </w:t>
      </w:r>
    </w:p>
    <w:p w:rsidR="00C01166" w:rsidRDefault="00C01166" w:rsidP="00755D0F">
      <w:r>
        <w:lastRenderedPageBreak/>
        <w:t xml:space="preserve">The Responsible Engineer </w:t>
      </w:r>
      <w:r w:rsidR="0062614A">
        <w:t xml:space="preserve">analyzes the situation, </w:t>
      </w:r>
      <w:r w:rsidRPr="0040552C">
        <w:t xml:space="preserve">assesses </w:t>
      </w:r>
      <w:r w:rsidR="0062614A">
        <w:t xml:space="preserve">the </w:t>
      </w:r>
      <w:r w:rsidRPr="0040552C">
        <w:t>impact</w:t>
      </w:r>
      <w:r w:rsidR="0062614A">
        <w:t>,</w:t>
      </w:r>
      <w:r w:rsidRPr="0040552C">
        <w:t xml:space="preserve"> and develops</w:t>
      </w:r>
      <w:r w:rsidR="0062614A">
        <w:t xml:space="preserve"> a</w:t>
      </w:r>
      <w:r w:rsidRPr="0040552C">
        <w:t xml:space="preserve"> recommended action</w:t>
      </w:r>
      <w:r w:rsidR="0062614A">
        <w:t xml:space="preserve"> (use-</w:t>
      </w:r>
      <w:r w:rsidR="00553068">
        <w:t xml:space="preserve">as-is, rework, or reject), which is then submitted for review and/or approval by a project manager/CAM, QA representative and/or project director/systems lead.  Responsibilities for review/approval are determined via a risk-based graded approach defined as part of the initiation phase of the particular project (see AD-Conduct of Engineering Implementation Plan). </w:t>
      </w:r>
    </w:p>
    <w:p w:rsidR="00755D0F" w:rsidRDefault="00755D0F" w:rsidP="00755D0F">
      <w:r>
        <w:t xml:space="preserve">The Responsible Engineer, Cost Account Manager (CAM) </w:t>
      </w:r>
      <w:r w:rsidR="00553068">
        <w:t>and/</w:t>
      </w:r>
      <w:r>
        <w:t xml:space="preserve">or Quality Assurance representative may place a hold on work-in-progress while causes and compensatory measures are being evaluated.  </w:t>
      </w:r>
    </w:p>
    <w:p w:rsidR="00A24EB5" w:rsidRPr="005543AF" w:rsidRDefault="00A24EB5" w:rsidP="00A24EB5">
      <w:r w:rsidRPr="005543AF">
        <w:t xml:space="preserve">Recommendations </w:t>
      </w:r>
      <w:r w:rsidR="00755D0F">
        <w:t>by the Responsible E</w:t>
      </w:r>
      <w:r>
        <w:t>ngineer</w:t>
      </w:r>
      <w:r w:rsidR="00755D0F">
        <w:t xml:space="preserve"> and CAM</w:t>
      </w:r>
      <w:r>
        <w:t xml:space="preserve"> </w:t>
      </w:r>
      <w:r w:rsidR="00755D0F">
        <w:t>(and/or appointed QA representative and/or Change Control Board, if instituted)</w:t>
      </w:r>
      <w:r>
        <w:t xml:space="preserve"> </w:t>
      </w:r>
      <w:r w:rsidRPr="005543AF">
        <w:t xml:space="preserve">may include generation and approval of a </w:t>
      </w:r>
      <w:r w:rsidR="00755D0F">
        <w:t>Deviation R</w:t>
      </w:r>
      <w:r w:rsidRPr="005543AF">
        <w:t>equest to accept the material as-is, and/or generation of an en</w:t>
      </w:r>
      <w:r>
        <w:t>gineering change request (ECR).  Any holds placed on work-in-progress are lifted once review, recommendations, and approvals indicate that the issue is under control.</w:t>
      </w:r>
    </w:p>
    <w:p w:rsidR="00A24EB5" w:rsidRDefault="00755D0F" w:rsidP="00783AA8">
      <w:r>
        <w:t xml:space="preserve">The completed NCR is filed in the </w:t>
      </w:r>
      <w:r w:rsidR="006406AD">
        <w:t xml:space="preserve">affected part’s </w:t>
      </w:r>
      <w:r>
        <w:t>job file.  Any documentation supporting the resulting disposition of the nonconforming part/assembly is filed in the SLAC job file.</w:t>
      </w:r>
    </w:p>
    <w:p w:rsidR="00A24EB5" w:rsidRPr="00632026" w:rsidRDefault="00493E02" w:rsidP="00632026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.3pt;margin-top:15.75pt;width:487.9pt;height:372.4pt;z-index:251664384;mso-position-horizontal-relative:text;mso-position-vertical-relative:text">
            <v:imagedata r:id="rId9" o:title=""/>
          </v:shape>
          <o:OLEObject Type="Embed" ProgID="Visio.Drawing.11" ShapeID="_x0000_s1031" DrawAspect="Content" ObjectID="_1545026817" r:id="rId10"/>
        </w:pict>
      </w:r>
      <w:r w:rsidR="00632026" w:rsidRPr="00632026">
        <w:rPr>
          <w:b/>
        </w:rPr>
        <w:t>Figure 1: Process flow for managing nonconformities</w:t>
      </w:r>
    </w:p>
    <w:p w:rsidR="00A24EB5" w:rsidRDefault="00A24EB5"/>
    <w:p w:rsidR="00A24EB5" w:rsidRDefault="00A24EB5"/>
    <w:p w:rsidR="00A24EB5" w:rsidRDefault="00A24EB5"/>
    <w:p w:rsidR="00A24EB5" w:rsidRDefault="00A24EB5"/>
    <w:p w:rsidR="00A24EB5" w:rsidRDefault="00A24EB5"/>
    <w:p w:rsidR="00A24EB5" w:rsidRDefault="00A24EB5"/>
    <w:p w:rsidR="00A24EB5" w:rsidRDefault="00A24EB5"/>
    <w:p w:rsidR="00A24EB5" w:rsidRDefault="00A24EB5"/>
    <w:p w:rsidR="00A24EB5" w:rsidRDefault="00A24EB5"/>
    <w:p w:rsidR="00A24EB5" w:rsidRDefault="00A24EB5"/>
    <w:p w:rsidR="00A24EB5" w:rsidRPr="00632026" w:rsidRDefault="00A24EB5"/>
    <w:p w:rsidR="00A24EB5" w:rsidRPr="00632026" w:rsidRDefault="00A24EB5"/>
    <w:p w:rsidR="00A24EB5" w:rsidRPr="00632026" w:rsidRDefault="00A24EB5"/>
    <w:p w:rsidR="00A24EB5" w:rsidRDefault="00A24EB5"/>
    <w:p w:rsidR="00493E02" w:rsidRPr="00632026" w:rsidRDefault="00493E02"/>
    <w:p w:rsidR="00701639" w:rsidRPr="00783AA8" w:rsidRDefault="00701639" w:rsidP="0040552C">
      <w:pPr>
        <w:pStyle w:val="Heading2"/>
        <w:rPr>
          <w:sz w:val="24"/>
        </w:rPr>
      </w:pPr>
      <w:r w:rsidRPr="00783AA8">
        <w:rPr>
          <w:sz w:val="24"/>
        </w:rPr>
        <w:t>Assessing Impact of a Nonconformance</w:t>
      </w:r>
    </w:p>
    <w:p w:rsidR="0040552C" w:rsidRPr="00701639" w:rsidRDefault="00701639" w:rsidP="00701639">
      <w:r>
        <w:t xml:space="preserve">Application of a </w:t>
      </w:r>
      <w:r w:rsidRPr="00701639">
        <w:t xml:space="preserve">risk-based method of assessing the impact of a nonconformance </w:t>
      </w:r>
      <w:r>
        <w:t>will help clarify for project managers and Responsible Engineers the levels of review and approval for a given situation.  The Responsible Engineer compl</w:t>
      </w:r>
      <w:r w:rsidR="00E6305E">
        <w:t xml:space="preserve">etes the impact assessment table (Table 2) </w:t>
      </w:r>
      <w:r>
        <w:t>and determines the average score. The</w:t>
      </w:r>
      <w:r w:rsidR="00E6305E">
        <w:t>n the score is used in Table 3 to define the</w:t>
      </w:r>
      <w:r>
        <w:t xml:space="preserve"> level of responsibilities to be </w:t>
      </w:r>
      <w:r w:rsidR="00E6305E">
        <w:t xml:space="preserve">applied for the given situation.  </w:t>
      </w:r>
    </w:p>
    <w:p w:rsidR="0040552C" w:rsidRPr="00783AA8" w:rsidRDefault="00E6305E" w:rsidP="00783AA8">
      <w:pPr>
        <w:spacing w:after="0"/>
        <w:jc w:val="center"/>
        <w:rPr>
          <w:b/>
          <w:bCs/>
        </w:rPr>
      </w:pPr>
      <w:r w:rsidRPr="00783AA8">
        <w:rPr>
          <w:b/>
          <w:bCs/>
        </w:rPr>
        <w:t>Table 2: Nonconformance Impact Assessment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890"/>
        <w:gridCol w:w="2520"/>
        <w:gridCol w:w="2088"/>
      </w:tblGrid>
      <w:tr w:rsidR="00E6305E" w:rsidRPr="00E6305E" w:rsidTr="00E6305E">
        <w:tc>
          <w:tcPr>
            <w:tcW w:w="3078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  <w:r w:rsidRPr="00E6305E">
              <w:rPr>
                <w:b/>
                <w:bCs/>
                <w:sz w:val="20"/>
              </w:rPr>
              <w:t>Low = 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  <w:r w:rsidRPr="00E6305E">
              <w:rPr>
                <w:b/>
                <w:bCs/>
                <w:sz w:val="20"/>
              </w:rPr>
              <w:t>Medium = 3</w:t>
            </w:r>
          </w:p>
        </w:tc>
        <w:tc>
          <w:tcPr>
            <w:tcW w:w="2088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  <w:r w:rsidRPr="00E6305E">
              <w:rPr>
                <w:b/>
                <w:bCs/>
                <w:sz w:val="20"/>
              </w:rPr>
              <w:t>High = 5</w:t>
            </w:r>
          </w:p>
        </w:tc>
      </w:tr>
      <w:tr w:rsidR="00E6305E" w:rsidRPr="00E6305E" w:rsidTr="00E6305E">
        <w:tc>
          <w:tcPr>
            <w:tcW w:w="3078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  <w:r w:rsidRPr="00E6305E">
              <w:rPr>
                <w:b/>
                <w:bCs/>
                <w:sz w:val="20"/>
              </w:rPr>
              <w:t>Type of Item</w:t>
            </w:r>
          </w:p>
        </w:tc>
        <w:tc>
          <w:tcPr>
            <w:tcW w:w="1890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Standard/Catalog</w:t>
            </w:r>
          </w:p>
        </w:tc>
        <w:tc>
          <w:tcPr>
            <w:tcW w:w="2520" w:type="dxa"/>
          </w:tcPr>
          <w:p w:rsidR="00E6305E" w:rsidRPr="00E6305E" w:rsidRDefault="00E6305E" w:rsidP="00E6305E">
            <w:pPr>
              <w:ind w:left="252" w:hanging="252"/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Customized within Supplier-offered Range</w:t>
            </w:r>
          </w:p>
        </w:tc>
        <w:tc>
          <w:tcPr>
            <w:tcW w:w="2088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Fabricated per Print</w:t>
            </w:r>
          </w:p>
        </w:tc>
      </w:tr>
      <w:tr w:rsidR="00E6305E" w:rsidRPr="00E6305E" w:rsidTr="00E6305E">
        <w:tc>
          <w:tcPr>
            <w:tcW w:w="3078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  <w:r w:rsidRPr="00E6305E">
              <w:rPr>
                <w:b/>
                <w:bCs/>
                <w:sz w:val="20"/>
              </w:rPr>
              <w:t>Item Cost</w:t>
            </w:r>
          </w:p>
        </w:tc>
        <w:tc>
          <w:tcPr>
            <w:tcW w:w="1890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&lt; $500</w:t>
            </w:r>
          </w:p>
        </w:tc>
        <w:tc>
          <w:tcPr>
            <w:tcW w:w="2520" w:type="dxa"/>
          </w:tcPr>
          <w:p w:rsidR="00E6305E" w:rsidRPr="00E6305E" w:rsidRDefault="00E6305E" w:rsidP="00E6305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&gt; $500, &lt; $5,000</w:t>
            </w:r>
          </w:p>
        </w:tc>
        <w:tc>
          <w:tcPr>
            <w:tcW w:w="2088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&gt; $5,000</w:t>
            </w:r>
          </w:p>
        </w:tc>
      </w:tr>
      <w:tr w:rsidR="00E6305E" w:rsidRPr="00E6305E" w:rsidTr="00E6305E">
        <w:tc>
          <w:tcPr>
            <w:tcW w:w="3078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  <w:r w:rsidRPr="00E6305E">
              <w:rPr>
                <w:b/>
                <w:bCs/>
                <w:sz w:val="20"/>
              </w:rPr>
              <w:t>Purchase Order Total</w:t>
            </w:r>
          </w:p>
        </w:tc>
        <w:tc>
          <w:tcPr>
            <w:tcW w:w="1890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&lt; $5,000</w:t>
            </w:r>
          </w:p>
        </w:tc>
        <w:tc>
          <w:tcPr>
            <w:tcW w:w="2520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&gt; $5000, &lt; $15,000</w:t>
            </w:r>
          </w:p>
        </w:tc>
        <w:tc>
          <w:tcPr>
            <w:tcW w:w="2088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&gt; $15,000</w:t>
            </w:r>
          </w:p>
        </w:tc>
      </w:tr>
      <w:tr w:rsidR="00E6305E" w:rsidRPr="00E6305E" w:rsidTr="00E6305E">
        <w:tc>
          <w:tcPr>
            <w:tcW w:w="3078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  <w:r w:rsidRPr="00E6305E">
              <w:rPr>
                <w:b/>
                <w:bCs/>
                <w:sz w:val="20"/>
              </w:rPr>
              <w:t>Time to address</w:t>
            </w:r>
          </w:p>
        </w:tc>
        <w:tc>
          <w:tcPr>
            <w:tcW w:w="1890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&lt; 4 hours</w:t>
            </w:r>
          </w:p>
        </w:tc>
        <w:tc>
          <w:tcPr>
            <w:tcW w:w="2520" w:type="dxa"/>
          </w:tcPr>
          <w:p w:rsidR="00E6305E" w:rsidRPr="00E6305E" w:rsidRDefault="00E6305E" w:rsidP="00E6305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&gt; 4 hours, &lt; 16 hours</w:t>
            </w:r>
          </w:p>
        </w:tc>
        <w:tc>
          <w:tcPr>
            <w:tcW w:w="2088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Wingdings" w:char="F06F"/>
            </w:r>
            <w:r>
              <w:rPr>
                <w:bCs/>
                <w:sz w:val="20"/>
              </w:rPr>
              <w:t xml:space="preserve"> </w:t>
            </w:r>
            <w:r w:rsidRPr="00E6305E">
              <w:rPr>
                <w:bCs/>
                <w:sz w:val="20"/>
              </w:rPr>
              <w:t>&gt; 16 hours</w:t>
            </w:r>
          </w:p>
        </w:tc>
      </w:tr>
      <w:tr w:rsidR="00E6305E" w:rsidRPr="00E6305E" w:rsidTr="00E6305E">
        <w:tc>
          <w:tcPr>
            <w:tcW w:w="3078" w:type="dxa"/>
            <w:shd w:val="clear" w:color="auto" w:fill="D9D9D9" w:themeFill="background1" w:themeFillShade="D9"/>
          </w:tcPr>
          <w:p w:rsidR="00E6305E" w:rsidRPr="00E6305E" w:rsidRDefault="00E6305E" w:rsidP="0040552C">
            <w:pPr>
              <w:rPr>
                <w:b/>
                <w:bCs/>
                <w:sz w:val="20"/>
              </w:rPr>
            </w:pPr>
            <w:r w:rsidRPr="00E6305E">
              <w:rPr>
                <w:b/>
                <w:bCs/>
                <w:sz w:val="20"/>
              </w:rPr>
              <w:t xml:space="preserve">Average Score </w:t>
            </w:r>
            <w:r w:rsidRPr="00E6305E">
              <w:rPr>
                <w:bCs/>
                <w:sz w:val="20"/>
              </w:rPr>
              <w:t>(Sum each column, weight, then divide by 4)</w:t>
            </w:r>
          </w:p>
        </w:tc>
        <w:tc>
          <w:tcPr>
            <w:tcW w:w="1890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</w:p>
        </w:tc>
        <w:tc>
          <w:tcPr>
            <w:tcW w:w="2520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</w:p>
        </w:tc>
        <w:tc>
          <w:tcPr>
            <w:tcW w:w="2088" w:type="dxa"/>
          </w:tcPr>
          <w:p w:rsidR="00E6305E" w:rsidRPr="00E6305E" w:rsidRDefault="00E6305E" w:rsidP="0040552C">
            <w:pPr>
              <w:rPr>
                <w:bCs/>
                <w:sz w:val="20"/>
              </w:rPr>
            </w:pPr>
          </w:p>
        </w:tc>
      </w:tr>
    </w:tbl>
    <w:p w:rsidR="00E6305E" w:rsidRPr="00783AA8" w:rsidRDefault="00E6305E" w:rsidP="0040552C">
      <w:pPr>
        <w:rPr>
          <w:bCs/>
          <w:sz w:val="18"/>
        </w:rPr>
      </w:pPr>
      <w:r w:rsidRPr="00783AA8">
        <w:rPr>
          <w:bCs/>
          <w:sz w:val="18"/>
        </w:rPr>
        <w:t xml:space="preserve">(Example: </w:t>
      </w:r>
      <w:r w:rsidR="00783AA8" w:rsidRPr="00783AA8">
        <w:rPr>
          <w:bCs/>
          <w:sz w:val="18"/>
        </w:rPr>
        <w:t xml:space="preserve">Standard, item cost $1000, Purchase Order $2000, &lt;4 </w:t>
      </w:r>
      <w:proofErr w:type="spellStart"/>
      <w:r w:rsidR="00783AA8" w:rsidRPr="00783AA8">
        <w:rPr>
          <w:bCs/>
          <w:sz w:val="18"/>
        </w:rPr>
        <w:t>hr</w:t>
      </w:r>
      <w:proofErr w:type="spellEnd"/>
      <w:r w:rsidR="00783AA8" w:rsidRPr="00783AA8">
        <w:rPr>
          <w:bCs/>
          <w:sz w:val="18"/>
        </w:rPr>
        <w:t xml:space="preserve"> repair </w:t>
      </w:r>
      <w:r w:rsidR="00783AA8" w:rsidRPr="00783AA8">
        <w:rPr>
          <w:bCs/>
          <w:sz w:val="18"/>
        </w:rPr>
        <w:sym w:font="Wingdings" w:char="F0E0"/>
      </w:r>
      <w:r w:rsidR="00783AA8" w:rsidRPr="00783AA8">
        <w:rPr>
          <w:bCs/>
          <w:sz w:val="18"/>
        </w:rPr>
        <w:t xml:space="preserve"> (2 lows, 2 med) </w:t>
      </w:r>
      <w:r w:rsidR="00783AA8" w:rsidRPr="00783AA8">
        <w:rPr>
          <w:bCs/>
          <w:sz w:val="18"/>
        </w:rPr>
        <w:sym w:font="Wingdings" w:char="F0E0"/>
      </w:r>
      <w:r w:rsidR="00783AA8" w:rsidRPr="00783AA8">
        <w:rPr>
          <w:bCs/>
          <w:sz w:val="18"/>
        </w:rPr>
        <w:t xml:space="preserve"> (1x2+3x2) = 8.  Divide by 4</w:t>
      </w:r>
      <w:r w:rsidR="00783AA8" w:rsidRPr="00783AA8">
        <w:rPr>
          <w:bCs/>
          <w:sz w:val="18"/>
        </w:rPr>
        <w:sym w:font="Wingdings" w:char="F0E0"/>
      </w:r>
      <w:r w:rsidR="00783AA8">
        <w:rPr>
          <w:bCs/>
          <w:sz w:val="18"/>
        </w:rPr>
        <w:t xml:space="preserve"> Score = 2. )</w:t>
      </w:r>
    </w:p>
    <w:p w:rsidR="00E6305E" w:rsidRPr="00783AA8" w:rsidRDefault="00E6305E" w:rsidP="00783AA8">
      <w:pPr>
        <w:spacing w:after="0"/>
        <w:jc w:val="center"/>
        <w:rPr>
          <w:b/>
          <w:bCs/>
        </w:rPr>
      </w:pPr>
      <w:r w:rsidRPr="00783AA8">
        <w:rPr>
          <w:b/>
          <w:bCs/>
        </w:rPr>
        <w:t>Table 3: Nonconformance Responsibilities as defined by Impact Assessment Score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1440"/>
        <w:gridCol w:w="1620"/>
        <w:gridCol w:w="1620"/>
        <w:gridCol w:w="1260"/>
        <w:gridCol w:w="1890"/>
      </w:tblGrid>
      <w:tr w:rsidR="00783AA8" w:rsidRPr="00783AA8" w:rsidTr="00783AA8">
        <w:tc>
          <w:tcPr>
            <w:tcW w:w="810" w:type="dxa"/>
            <w:shd w:val="clear" w:color="auto" w:fill="D9D9D9" w:themeFill="background1" w:themeFillShade="D9"/>
          </w:tcPr>
          <w:p w:rsidR="00783AA8" w:rsidRPr="00783AA8" w:rsidRDefault="00783AA8">
            <w:pPr>
              <w:rPr>
                <w:b/>
                <w:sz w:val="20"/>
              </w:rPr>
            </w:pPr>
            <w:r w:rsidRPr="00783AA8">
              <w:rPr>
                <w:b/>
                <w:sz w:val="20"/>
              </w:rPr>
              <w:t>Impact Score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83AA8" w:rsidRPr="00783AA8" w:rsidRDefault="00783AA8">
            <w:pPr>
              <w:rPr>
                <w:b/>
                <w:sz w:val="20"/>
              </w:rPr>
            </w:pPr>
            <w:r w:rsidRPr="00783AA8">
              <w:rPr>
                <w:b/>
                <w:sz w:val="20"/>
              </w:rPr>
              <w:t>Responsible Engineer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83AA8" w:rsidRPr="00783AA8" w:rsidRDefault="00783AA8">
            <w:pPr>
              <w:rPr>
                <w:b/>
                <w:sz w:val="20"/>
              </w:rPr>
            </w:pPr>
            <w:r w:rsidRPr="00783AA8">
              <w:rPr>
                <w:b/>
                <w:sz w:val="20"/>
              </w:rPr>
              <w:t>Project Technical Lead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83AA8" w:rsidRPr="00783AA8" w:rsidRDefault="00783AA8">
            <w:pPr>
              <w:rPr>
                <w:b/>
                <w:sz w:val="20"/>
              </w:rPr>
            </w:pPr>
            <w:r w:rsidRPr="00783AA8">
              <w:rPr>
                <w:b/>
                <w:sz w:val="20"/>
              </w:rPr>
              <w:t>Project QA Representative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83AA8" w:rsidRPr="00783AA8" w:rsidRDefault="00783AA8">
            <w:pPr>
              <w:rPr>
                <w:b/>
                <w:sz w:val="20"/>
              </w:rPr>
            </w:pPr>
            <w:r w:rsidRPr="00783AA8">
              <w:rPr>
                <w:b/>
                <w:sz w:val="20"/>
              </w:rPr>
              <w:t>Project CAM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783AA8" w:rsidRPr="00783AA8" w:rsidRDefault="00783AA8">
            <w:pPr>
              <w:rPr>
                <w:b/>
                <w:sz w:val="20"/>
              </w:rPr>
            </w:pPr>
            <w:r w:rsidRPr="00783AA8">
              <w:rPr>
                <w:b/>
                <w:sz w:val="20"/>
              </w:rPr>
              <w:t>Project System Lead (or Director</w:t>
            </w:r>
            <w:r>
              <w:rPr>
                <w:b/>
                <w:sz w:val="20"/>
              </w:rPr>
              <w:t>)</w:t>
            </w:r>
          </w:p>
        </w:tc>
      </w:tr>
      <w:tr w:rsidR="00783AA8" w:rsidRPr="00783AA8" w:rsidTr="00783AA8">
        <w:tc>
          <w:tcPr>
            <w:tcW w:w="81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Recommends</w:t>
            </w:r>
          </w:p>
        </w:tc>
        <w:tc>
          <w:tcPr>
            <w:tcW w:w="162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  <w:tc>
          <w:tcPr>
            <w:tcW w:w="162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  <w:tc>
          <w:tcPr>
            <w:tcW w:w="126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Informed</w:t>
            </w:r>
          </w:p>
        </w:tc>
        <w:tc>
          <w:tcPr>
            <w:tcW w:w="189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Informed</w:t>
            </w:r>
          </w:p>
        </w:tc>
      </w:tr>
      <w:tr w:rsidR="00783AA8" w:rsidRPr="00783AA8" w:rsidTr="00783AA8">
        <w:tc>
          <w:tcPr>
            <w:tcW w:w="81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Recommends</w:t>
            </w:r>
          </w:p>
        </w:tc>
        <w:tc>
          <w:tcPr>
            <w:tcW w:w="162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  <w:tc>
          <w:tcPr>
            <w:tcW w:w="162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  <w:tc>
          <w:tcPr>
            <w:tcW w:w="126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  <w:tc>
          <w:tcPr>
            <w:tcW w:w="189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Informed</w:t>
            </w:r>
          </w:p>
        </w:tc>
      </w:tr>
      <w:tr w:rsidR="00783AA8" w:rsidRPr="00783AA8" w:rsidTr="00783AA8">
        <w:tc>
          <w:tcPr>
            <w:tcW w:w="81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Recommends</w:t>
            </w:r>
          </w:p>
        </w:tc>
        <w:tc>
          <w:tcPr>
            <w:tcW w:w="162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  <w:tc>
          <w:tcPr>
            <w:tcW w:w="162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  <w:tc>
          <w:tcPr>
            <w:tcW w:w="126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  <w:tc>
          <w:tcPr>
            <w:tcW w:w="1890" w:type="dxa"/>
          </w:tcPr>
          <w:p w:rsidR="00783AA8" w:rsidRPr="00783AA8" w:rsidRDefault="00783AA8">
            <w:pPr>
              <w:rPr>
                <w:sz w:val="20"/>
              </w:rPr>
            </w:pPr>
            <w:r>
              <w:rPr>
                <w:sz w:val="20"/>
              </w:rPr>
              <w:t>Approves</w:t>
            </w:r>
          </w:p>
        </w:tc>
      </w:tr>
    </w:tbl>
    <w:p w:rsidR="00174A57" w:rsidRDefault="00174A57"/>
    <w:p w:rsidR="0040552C" w:rsidRDefault="00251FF4" w:rsidP="00251FF4">
      <w:pPr>
        <w:pStyle w:val="Heading1"/>
      </w:pPr>
      <w: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251FF4" w:rsidRPr="00251FF4" w:rsidTr="00251FF4">
        <w:tc>
          <w:tcPr>
            <w:tcW w:w="2538" w:type="dxa"/>
            <w:shd w:val="clear" w:color="auto" w:fill="D9D9D9" w:themeFill="background1" w:themeFillShade="D9"/>
          </w:tcPr>
          <w:p w:rsidR="00251FF4" w:rsidRPr="00251FF4" w:rsidRDefault="00251FF4" w:rsidP="00251FF4">
            <w:pPr>
              <w:rPr>
                <w:b/>
                <w:sz w:val="22"/>
              </w:rPr>
            </w:pPr>
            <w:r w:rsidRPr="00251FF4">
              <w:rPr>
                <w:b/>
                <w:sz w:val="22"/>
              </w:rPr>
              <w:t>Reference</w:t>
            </w:r>
          </w:p>
        </w:tc>
        <w:tc>
          <w:tcPr>
            <w:tcW w:w="7038" w:type="dxa"/>
            <w:shd w:val="clear" w:color="auto" w:fill="D9D9D9" w:themeFill="background1" w:themeFillShade="D9"/>
          </w:tcPr>
          <w:p w:rsidR="00251FF4" w:rsidRPr="00251FF4" w:rsidRDefault="00251FF4" w:rsidP="00251FF4">
            <w:pPr>
              <w:rPr>
                <w:b/>
                <w:sz w:val="22"/>
              </w:rPr>
            </w:pPr>
            <w:r w:rsidRPr="00251FF4">
              <w:rPr>
                <w:b/>
                <w:sz w:val="22"/>
              </w:rPr>
              <w:t>Description</w:t>
            </w:r>
          </w:p>
        </w:tc>
      </w:tr>
      <w:tr w:rsidR="00251FF4" w:rsidRPr="00251FF4" w:rsidTr="00251FF4">
        <w:tc>
          <w:tcPr>
            <w:tcW w:w="2538" w:type="dxa"/>
          </w:tcPr>
          <w:p w:rsidR="00251FF4" w:rsidRPr="00251FF4" w:rsidRDefault="00251FF4" w:rsidP="00251FF4">
            <w:pPr>
              <w:rPr>
                <w:sz w:val="22"/>
              </w:rPr>
            </w:pPr>
            <w:r>
              <w:rPr>
                <w:sz w:val="22"/>
              </w:rPr>
              <w:t>SLAC-I</w:t>
            </w:r>
            <w:r w:rsidRPr="00251FF4">
              <w:rPr>
                <w:sz w:val="22"/>
              </w:rPr>
              <w:t>-020-701-002-00</w:t>
            </w:r>
          </w:p>
        </w:tc>
        <w:tc>
          <w:tcPr>
            <w:tcW w:w="7038" w:type="dxa"/>
          </w:tcPr>
          <w:p w:rsidR="00251FF4" w:rsidRPr="00251FF4" w:rsidRDefault="00251FF4" w:rsidP="00251FF4">
            <w:pPr>
              <w:rPr>
                <w:sz w:val="22"/>
              </w:rPr>
            </w:pPr>
            <w:r>
              <w:rPr>
                <w:sz w:val="22"/>
              </w:rPr>
              <w:t>Nonconformance Report Form</w:t>
            </w:r>
          </w:p>
        </w:tc>
      </w:tr>
      <w:tr w:rsidR="00251FF4" w:rsidRPr="00251FF4" w:rsidTr="00251FF4">
        <w:tc>
          <w:tcPr>
            <w:tcW w:w="2538" w:type="dxa"/>
          </w:tcPr>
          <w:p w:rsidR="00251FF4" w:rsidRPr="00251FF4" w:rsidRDefault="00251FF4" w:rsidP="00251FF4">
            <w:pPr>
              <w:rPr>
                <w:sz w:val="22"/>
                <w:szCs w:val="22"/>
              </w:rPr>
            </w:pPr>
            <w:r w:rsidRPr="00251FF4">
              <w:rPr>
                <w:sz w:val="22"/>
                <w:szCs w:val="22"/>
              </w:rPr>
              <w:t>SLAC-I-020-101-002-00</w:t>
            </w:r>
          </w:p>
        </w:tc>
        <w:tc>
          <w:tcPr>
            <w:tcW w:w="7038" w:type="dxa"/>
          </w:tcPr>
          <w:p w:rsidR="00251FF4" w:rsidRPr="00251FF4" w:rsidRDefault="00251FF4" w:rsidP="00251FF4">
            <w:pPr>
              <w:rPr>
                <w:sz w:val="22"/>
                <w:szCs w:val="22"/>
              </w:rPr>
            </w:pPr>
            <w:r w:rsidRPr="00251FF4">
              <w:rPr>
                <w:sz w:val="22"/>
                <w:szCs w:val="22"/>
              </w:rPr>
              <w:t>AD Conduct of Engineering Implementation Plan</w:t>
            </w:r>
          </w:p>
        </w:tc>
      </w:tr>
      <w:tr w:rsidR="00251FF4" w:rsidRPr="00251FF4" w:rsidTr="00251FF4">
        <w:tc>
          <w:tcPr>
            <w:tcW w:w="2538" w:type="dxa"/>
          </w:tcPr>
          <w:p w:rsidR="00251FF4" w:rsidRPr="00251FF4" w:rsidRDefault="00493E02" w:rsidP="00251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SLAC-I-020-701-003-00</w:t>
            </w:r>
          </w:p>
        </w:tc>
        <w:tc>
          <w:tcPr>
            <w:tcW w:w="7038" w:type="dxa"/>
          </w:tcPr>
          <w:p w:rsidR="00251FF4" w:rsidRPr="00493E02" w:rsidRDefault="00251FF4" w:rsidP="00251FF4">
            <w:pPr>
              <w:rPr>
                <w:sz w:val="22"/>
                <w:szCs w:val="22"/>
              </w:rPr>
            </w:pPr>
            <w:r w:rsidRPr="00493E02">
              <w:rPr>
                <w:sz w:val="22"/>
                <w:szCs w:val="22"/>
              </w:rPr>
              <w:t>Deviation Form</w:t>
            </w:r>
          </w:p>
        </w:tc>
      </w:tr>
      <w:tr w:rsidR="00251FF4" w:rsidRPr="00251FF4" w:rsidTr="00251FF4">
        <w:tc>
          <w:tcPr>
            <w:tcW w:w="2538" w:type="dxa"/>
          </w:tcPr>
          <w:p w:rsidR="00251FF4" w:rsidRPr="00251FF4" w:rsidRDefault="00251FF4" w:rsidP="00251FF4">
            <w:pPr>
              <w:rPr>
                <w:sz w:val="22"/>
                <w:szCs w:val="22"/>
              </w:rPr>
            </w:pPr>
          </w:p>
        </w:tc>
        <w:tc>
          <w:tcPr>
            <w:tcW w:w="7038" w:type="dxa"/>
          </w:tcPr>
          <w:p w:rsidR="00251FF4" w:rsidRPr="00251FF4" w:rsidRDefault="00251FF4" w:rsidP="00251FF4">
            <w:pPr>
              <w:rPr>
                <w:sz w:val="22"/>
                <w:szCs w:val="22"/>
              </w:rPr>
            </w:pPr>
            <w:r w:rsidRPr="00251FF4">
              <w:rPr>
                <w:sz w:val="22"/>
                <w:szCs w:val="22"/>
              </w:rPr>
              <w:t>ECR Process</w:t>
            </w:r>
          </w:p>
        </w:tc>
      </w:tr>
    </w:tbl>
    <w:p w:rsidR="00251FF4" w:rsidRPr="00251FF4" w:rsidRDefault="00251FF4" w:rsidP="00251FF4"/>
    <w:sectPr w:rsidR="00251FF4" w:rsidRPr="00251FF4" w:rsidSect="0063202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1E" w:rsidRDefault="003F721E" w:rsidP="005B3E8A">
      <w:pPr>
        <w:spacing w:after="0" w:line="240" w:lineRule="auto"/>
      </w:pPr>
      <w:r>
        <w:separator/>
      </w:r>
    </w:p>
  </w:endnote>
  <w:endnote w:type="continuationSeparator" w:id="0">
    <w:p w:rsidR="003F721E" w:rsidRDefault="003F721E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Pr="00493E02" w:rsidRDefault="00493E02" w:rsidP="00251FF4">
    <w:pPr>
      <w:pStyle w:val="Footer"/>
      <w:pBdr>
        <w:top w:val="single" w:sz="4" w:space="1" w:color="auto"/>
      </w:pBdr>
      <w:rPr>
        <w:noProof/>
        <w:sz w:val="18"/>
      </w:rPr>
    </w:pPr>
    <w:r w:rsidRPr="00493E02">
      <w:rPr>
        <w:sz w:val="18"/>
      </w:rPr>
      <w:t>SLAC-I-020-701-001-00</w:t>
    </w:r>
    <w:r w:rsidR="00174A57" w:rsidRPr="00493E02">
      <w:rPr>
        <w:sz w:val="18"/>
      </w:rPr>
      <w:tab/>
    </w:r>
    <w:r w:rsidR="00174A57" w:rsidRPr="00493E02">
      <w:rPr>
        <w:sz w:val="18"/>
      </w:rPr>
      <w:tab/>
      <w:t xml:space="preserve">page </w:t>
    </w:r>
    <w:r w:rsidR="00174A57" w:rsidRPr="00493E02">
      <w:rPr>
        <w:sz w:val="18"/>
      </w:rPr>
      <w:fldChar w:fldCharType="begin"/>
    </w:r>
    <w:r w:rsidR="00174A57" w:rsidRPr="00493E02">
      <w:rPr>
        <w:sz w:val="18"/>
      </w:rPr>
      <w:instrText xml:space="preserve"> PAGE   \* MERGEFORMAT </w:instrText>
    </w:r>
    <w:r w:rsidR="00174A57" w:rsidRPr="00493E02">
      <w:rPr>
        <w:sz w:val="18"/>
      </w:rPr>
      <w:fldChar w:fldCharType="separate"/>
    </w:r>
    <w:r>
      <w:rPr>
        <w:noProof/>
        <w:sz w:val="18"/>
      </w:rPr>
      <w:t>2</w:t>
    </w:r>
    <w:r w:rsidR="00174A57" w:rsidRPr="00493E02">
      <w:rPr>
        <w:noProof/>
        <w:sz w:val="18"/>
      </w:rPr>
      <w:fldChar w:fldCharType="end"/>
    </w:r>
  </w:p>
  <w:p w:rsidR="00493E02" w:rsidRPr="00493E02" w:rsidRDefault="00493E02" w:rsidP="00251FF4">
    <w:pPr>
      <w:pStyle w:val="Footer"/>
      <w:pBdr>
        <w:top w:val="single" w:sz="4" w:space="1" w:color="auto"/>
      </w:pBdr>
      <w:rPr>
        <w:sz w:val="18"/>
      </w:rPr>
    </w:pPr>
    <w:r w:rsidRPr="00493E02">
      <w:rPr>
        <w:noProof/>
        <w:sz w:val="18"/>
      </w:rPr>
      <w:t>January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2" w:rsidRPr="00493E02" w:rsidRDefault="00493E02" w:rsidP="00493E02">
    <w:pPr>
      <w:pStyle w:val="Footer"/>
      <w:pBdr>
        <w:top w:val="single" w:sz="4" w:space="1" w:color="auto"/>
      </w:pBdr>
      <w:rPr>
        <w:noProof/>
        <w:sz w:val="18"/>
      </w:rPr>
    </w:pPr>
    <w:r w:rsidRPr="00493E02">
      <w:rPr>
        <w:sz w:val="18"/>
      </w:rPr>
      <w:t>SLAC-I-020-701-001-00</w:t>
    </w:r>
    <w:r w:rsidRPr="00493E02">
      <w:rPr>
        <w:sz w:val="18"/>
      </w:rPr>
      <w:tab/>
    </w:r>
    <w:r w:rsidRPr="00493E02">
      <w:rPr>
        <w:sz w:val="18"/>
      </w:rPr>
      <w:tab/>
      <w:t xml:space="preserve">page </w:t>
    </w:r>
    <w:r w:rsidRPr="00493E02">
      <w:rPr>
        <w:sz w:val="18"/>
      </w:rPr>
      <w:fldChar w:fldCharType="begin"/>
    </w:r>
    <w:r w:rsidRPr="00493E02">
      <w:rPr>
        <w:sz w:val="18"/>
      </w:rPr>
      <w:instrText xml:space="preserve"> PAGE   \* MERGEFORMAT </w:instrText>
    </w:r>
    <w:r w:rsidRPr="00493E02">
      <w:rPr>
        <w:sz w:val="18"/>
      </w:rPr>
      <w:fldChar w:fldCharType="separate"/>
    </w:r>
    <w:r>
      <w:rPr>
        <w:noProof/>
        <w:sz w:val="18"/>
      </w:rPr>
      <w:t>1</w:t>
    </w:r>
    <w:r w:rsidRPr="00493E02">
      <w:rPr>
        <w:noProof/>
        <w:sz w:val="18"/>
      </w:rPr>
      <w:fldChar w:fldCharType="end"/>
    </w:r>
  </w:p>
  <w:p w:rsidR="00081061" w:rsidRPr="00493E02" w:rsidRDefault="00493E02" w:rsidP="00493E02">
    <w:pPr>
      <w:pStyle w:val="Footer"/>
      <w:pBdr>
        <w:top w:val="single" w:sz="4" w:space="1" w:color="auto"/>
      </w:pBdr>
      <w:rPr>
        <w:sz w:val="18"/>
      </w:rPr>
    </w:pPr>
    <w:r w:rsidRPr="00493E02">
      <w:rPr>
        <w:noProof/>
        <w:sz w:val="18"/>
      </w:rPr>
      <w:t>January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1E" w:rsidRDefault="003F721E" w:rsidP="005B3E8A">
      <w:pPr>
        <w:spacing w:after="0" w:line="240" w:lineRule="auto"/>
      </w:pPr>
      <w:r>
        <w:separator/>
      </w:r>
    </w:p>
  </w:footnote>
  <w:footnote w:type="continuationSeparator" w:id="0">
    <w:p w:rsidR="003F721E" w:rsidRDefault="003F721E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p w:rsidR="005B3E8A" w:rsidRPr="0092365F" w:rsidRDefault="00174A57" w:rsidP="0092365F">
    <w:pPr>
      <w:pStyle w:val="Header"/>
      <w:pBdr>
        <w:bottom w:val="single" w:sz="4" w:space="1" w:color="auto"/>
      </w:pBdr>
      <w:jc w:val="right"/>
      <w:rPr>
        <w:sz w:val="20"/>
      </w:rPr>
    </w:pPr>
    <w:r w:rsidRPr="0092365F">
      <w:rPr>
        <w:sz w:val="20"/>
      </w:rPr>
      <w:t>Process for Nonconf</w:t>
    </w:r>
    <w:r w:rsidR="00251FF4" w:rsidRPr="0092365F">
      <w:rPr>
        <w:sz w:val="20"/>
      </w:rPr>
      <w:t>ormance Reporting (NCR) – SLAC-I-020-701-001-00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4055"/>
      <w:gridCol w:w="5377"/>
    </w:tblGrid>
    <w:tr w:rsidR="00F64F0D" w:rsidRPr="009669F6" w:rsidTr="00174A57">
      <w:trPr>
        <w:trHeight w:val="1584"/>
      </w:trPr>
      <w:tc>
        <w:tcPr>
          <w:tcW w:w="4273" w:type="dxa"/>
          <w:vAlign w:val="center"/>
        </w:tcPr>
        <w:p w:rsidR="00F64F0D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43FE0E3" wp14:editId="31A34CEB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74A57">
            <w:t xml:space="preserve">  </w:t>
          </w:r>
        </w:p>
        <w:p w:rsidR="00174A57" w:rsidRDefault="00174A57" w:rsidP="00466ADC"/>
        <w:p w:rsidR="00174A57" w:rsidRDefault="00174A57" w:rsidP="00466ADC"/>
        <w:p w:rsidR="00174A57" w:rsidRDefault="00174A57" w:rsidP="00466ADC"/>
        <w:p w:rsidR="00174A57" w:rsidRPr="009669F6" w:rsidRDefault="00174A57" w:rsidP="00466ADC">
          <w:r w:rsidRPr="00C01166">
            <w:rPr>
              <w:sz w:val="20"/>
            </w:rPr>
            <w:t>AD-ME</w:t>
          </w:r>
          <w:r w:rsidR="00C01166">
            <w:rPr>
              <w:sz w:val="20"/>
            </w:rPr>
            <w:t>TSD-Mechanical Fabrication Department</w:t>
          </w:r>
        </w:p>
      </w:tc>
      <w:tc>
        <w:tcPr>
          <w:tcW w:w="6239" w:type="dxa"/>
          <w:vAlign w:val="center"/>
        </w:tcPr>
        <w:p w:rsidR="00F64F0D" w:rsidRPr="00C01166" w:rsidRDefault="00174A57" w:rsidP="00174A57">
          <w:pPr>
            <w:jc w:val="center"/>
            <w:rPr>
              <w:b/>
              <w:sz w:val="28"/>
              <w:szCs w:val="40"/>
            </w:rPr>
          </w:pPr>
          <w:r w:rsidRPr="00C01166">
            <w:rPr>
              <w:b/>
              <w:sz w:val="28"/>
              <w:szCs w:val="40"/>
            </w:rPr>
            <w:t xml:space="preserve">Process for </w:t>
          </w:r>
          <w:r w:rsidR="000E4095" w:rsidRPr="00C01166">
            <w:rPr>
              <w:b/>
              <w:sz w:val="28"/>
              <w:szCs w:val="40"/>
            </w:rPr>
            <w:t>Nonconformance</w:t>
          </w:r>
          <w:r w:rsidR="00F64F0D" w:rsidRPr="00C01166">
            <w:rPr>
              <w:b/>
              <w:sz w:val="28"/>
              <w:szCs w:val="40"/>
            </w:rPr>
            <w:t xml:space="preserve"> </w:t>
          </w:r>
          <w:r w:rsidR="000E4095" w:rsidRPr="00C01166">
            <w:rPr>
              <w:b/>
              <w:sz w:val="28"/>
              <w:szCs w:val="40"/>
            </w:rPr>
            <w:t>Report</w:t>
          </w:r>
          <w:r w:rsidRPr="00C01166">
            <w:rPr>
              <w:b/>
              <w:sz w:val="28"/>
              <w:szCs w:val="40"/>
            </w:rPr>
            <w:t>ing (NCR)</w:t>
          </w:r>
        </w:p>
        <w:p w:rsidR="00174A57" w:rsidRPr="00714A5E" w:rsidRDefault="00174A57" w:rsidP="00251FF4">
          <w:pPr>
            <w:jc w:val="center"/>
            <w:rPr>
              <w:sz w:val="40"/>
              <w:szCs w:val="40"/>
            </w:rPr>
          </w:pPr>
          <w:r w:rsidRPr="00C01166">
            <w:rPr>
              <w:b/>
              <w:sz w:val="28"/>
              <w:szCs w:val="40"/>
            </w:rPr>
            <w:t>SLAC-</w:t>
          </w:r>
          <w:r w:rsidR="00251FF4">
            <w:rPr>
              <w:b/>
              <w:sz w:val="28"/>
              <w:szCs w:val="40"/>
            </w:rPr>
            <w:t>I-020-701-001-00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AC26F7"/>
    <w:multiLevelType w:val="hybridMultilevel"/>
    <w:tmpl w:val="B52E3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6442B"/>
    <w:multiLevelType w:val="hybridMultilevel"/>
    <w:tmpl w:val="ACF24F86"/>
    <w:lvl w:ilvl="0" w:tplc="4FD2A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80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A8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66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FC8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A6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0C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4B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CC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D614B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AD57756"/>
    <w:multiLevelType w:val="hybridMultilevel"/>
    <w:tmpl w:val="C56AFBC4"/>
    <w:lvl w:ilvl="0" w:tplc="1B8E7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49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29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09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B63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25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47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EE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A7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66852"/>
    <w:rsid w:val="00081061"/>
    <w:rsid w:val="000939A9"/>
    <w:rsid w:val="000E4095"/>
    <w:rsid w:val="000F3AF8"/>
    <w:rsid w:val="00125A1F"/>
    <w:rsid w:val="00143603"/>
    <w:rsid w:val="0016728A"/>
    <w:rsid w:val="00174A57"/>
    <w:rsid w:val="00191012"/>
    <w:rsid w:val="001C1326"/>
    <w:rsid w:val="001C281D"/>
    <w:rsid w:val="001C3CAC"/>
    <w:rsid w:val="001C68DF"/>
    <w:rsid w:val="001F4796"/>
    <w:rsid w:val="0021707E"/>
    <w:rsid w:val="00251FF4"/>
    <w:rsid w:val="0027007F"/>
    <w:rsid w:val="002939FE"/>
    <w:rsid w:val="002E0222"/>
    <w:rsid w:val="003351E5"/>
    <w:rsid w:val="00335818"/>
    <w:rsid w:val="00362B7C"/>
    <w:rsid w:val="0039567A"/>
    <w:rsid w:val="003A5FA6"/>
    <w:rsid w:val="003E20F8"/>
    <w:rsid w:val="003F001A"/>
    <w:rsid w:val="003F33CC"/>
    <w:rsid w:val="003F721E"/>
    <w:rsid w:val="003F79DC"/>
    <w:rsid w:val="0040552C"/>
    <w:rsid w:val="00442F2C"/>
    <w:rsid w:val="00466ADC"/>
    <w:rsid w:val="004720C0"/>
    <w:rsid w:val="00483D6E"/>
    <w:rsid w:val="00493E02"/>
    <w:rsid w:val="004D2D05"/>
    <w:rsid w:val="004F16A1"/>
    <w:rsid w:val="00553068"/>
    <w:rsid w:val="00583864"/>
    <w:rsid w:val="005A595D"/>
    <w:rsid w:val="005B3E8A"/>
    <w:rsid w:val="005B7B6D"/>
    <w:rsid w:val="005D5C30"/>
    <w:rsid w:val="00614E7E"/>
    <w:rsid w:val="0062614A"/>
    <w:rsid w:val="00632026"/>
    <w:rsid w:val="00632F59"/>
    <w:rsid w:val="006406AD"/>
    <w:rsid w:val="00652853"/>
    <w:rsid w:val="006555FF"/>
    <w:rsid w:val="006B0146"/>
    <w:rsid w:val="006C51F9"/>
    <w:rsid w:val="00701639"/>
    <w:rsid w:val="007058F0"/>
    <w:rsid w:val="00714A5E"/>
    <w:rsid w:val="0074258B"/>
    <w:rsid w:val="00745FAC"/>
    <w:rsid w:val="00750BDD"/>
    <w:rsid w:val="00755D0F"/>
    <w:rsid w:val="00766348"/>
    <w:rsid w:val="00766A64"/>
    <w:rsid w:val="00783AA8"/>
    <w:rsid w:val="007940C6"/>
    <w:rsid w:val="007D0874"/>
    <w:rsid w:val="007D3310"/>
    <w:rsid w:val="007D5CC4"/>
    <w:rsid w:val="00823F79"/>
    <w:rsid w:val="0084273B"/>
    <w:rsid w:val="008704AB"/>
    <w:rsid w:val="00880833"/>
    <w:rsid w:val="00884966"/>
    <w:rsid w:val="00893926"/>
    <w:rsid w:val="0089393C"/>
    <w:rsid w:val="008A29A4"/>
    <w:rsid w:val="0092365F"/>
    <w:rsid w:val="009438EC"/>
    <w:rsid w:val="009628B7"/>
    <w:rsid w:val="009B555F"/>
    <w:rsid w:val="009D21DC"/>
    <w:rsid w:val="009E56DF"/>
    <w:rsid w:val="00A22FDA"/>
    <w:rsid w:val="00A24EB5"/>
    <w:rsid w:val="00A25481"/>
    <w:rsid w:val="00A32AEE"/>
    <w:rsid w:val="00A4276D"/>
    <w:rsid w:val="00A56DC3"/>
    <w:rsid w:val="00A77C0D"/>
    <w:rsid w:val="00AA27AD"/>
    <w:rsid w:val="00B3444C"/>
    <w:rsid w:val="00B43F97"/>
    <w:rsid w:val="00B63871"/>
    <w:rsid w:val="00B7628F"/>
    <w:rsid w:val="00B80BC0"/>
    <w:rsid w:val="00C01166"/>
    <w:rsid w:val="00C26E97"/>
    <w:rsid w:val="00C33631"/>
    <w:rsid w:val="00C50CE7"/>
    <w:rsid w:val="00C8641F"/>
    <w:rsid w:val="00C93844"/>
    <w:rsid w:val="00CC6B15"/>
    <w:rsid w:val="00CD57BE"/>
    <w:rsid w:val="00CD7396"/>
    <w:rsid w:val="00CF4209"/>
    <w:rsid w:val="00D1187F"/>
    <w:rsid w:val="00D835CA"/>
    <w:rsid w:val="00DB1F4D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6305E"/>
    <w:rsid w:val="00EA51B6"/>
    <w:rsid w:val="00EA57E9"/>
    <w:rsid w:val="00EC3666"/>
    <w:rsid w:val="00F355CC"/>
    <w:rsid w:val="00F64F0D"/>
    <w:rsid w:val="00F84342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E02"/>
    <w:pPr>
      <w:keepNext/>
      <w:keepLines/>
      <w:numPr>
        <w:numId w:val="7"/>
      </w:numPr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"/>
    <w:basedOn w:val="Normal"/>
    <w:link w:val="Heading3Char"/>
    <w:qFormat/>
    <w:rsid w:val="0040552C"/>
    <w:pPr>
      <w:numPr>
        <w:ilvl w:val="2"/>
        <w:numId w:val="7"/>
      </w:numPr>
      <w:pBdr>
        <w:bottom w:val="single" w:sz="6" w:space="4" w:color="auto"/>
      </w:pBdr>
      <w:tabs>
        <w:tab w:val="left" w:pos="2520"/>
        <w:tab w:val="left" w:pos="2880"/>
      </w:tabs>
      <w:spacing w:before="240" w:after="120" w:line="360" w:lineRule="atLeast"/>
      <w:outlineLvl w:val="2"/>
    </w:pPr>
    <w:rPr>
      <w:rFonts w:ascii="Times" w:eastAsia="Times New Roman" w:hAnsi="Times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026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026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026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026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026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026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  <w:style w:type="character" w:customStyle="1" w:styleId="Heading3Char">
    <w:name w:val="Heading 3 Char"/>
    <w:aliases w:val="h3 Char"/>
    <w:basedOn w:val="DefaultParagraphFont"/>
    <w:link w:val="Heading3"/>
    <w:rsid w:val="0040552C"/>
    <w:rPr>
      <w:rFonts w:ascii="Times" w:eastAsia="Times New Roman" w:hAnsi="Times" w:cs="Times New Roman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055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0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0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0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0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0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0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E02"/>
    <w:pPr>
      <w:keepNext/>
      <w:keepLines/>
      <w:numPr>
        <w:numId w:val="7"/>
      </w:numPr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"/>
    <w:basedOn w:val="Normal"/>
    <w:link w:val="Heading3Char"/>
    <w:qFormat/>
    <w:rsid w:val="0040552C"/>
    <w:pPr>
      <w:numPr>
        <w:ilvl w:val="2"/>
        <w:numId w:val="7"/>
      </w:numPr>
      <w:pBdr>
        <w:bottom w:val="single" w:sz="6" w:space="4" w:color="auto"/>
      </w:pBdr>
      <w:tabs>
        <w:tab w:val="left" w:pos="2520"/>
        <w:tab w:val="left" w:pos="2880"/>
      </w:tabs>
      <w:spacing w:before="240" w:after="120" w:line="360" w:lineRule="atLeast"/>
      <w:outlineLvl w:val="2"/>
    </w:pPr>
    <w:rPr>
      <w:rFonts w:ascii="Times" w:eastAsia="Times New Roman" w:hAnsi="Times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026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026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026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026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026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026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  <w:style w:type="character" w:customStyle="1" w:styleId="Heading3Char">
    <w:name w:val="Heading 3 Char"/>
    <w:aliases w:val="h3 Char"/>
    <w:basedOn w:val="DefaultParagraphFont"/>
    <w:link w:val="Heading3"/>
    <w:rsid w:val="0040552C"/>
    <w:rPr>
      <w:rFonts w:ascii="Times" w:eastAsia="Times New Roman" w:hAnsi="Times" w:cs="Times New Roman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055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0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0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0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0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0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0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EA9-41C1-4113-AE3B-3BDE9DD8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Young, Lydia J</cp:lastModifiedBy>
  <cp:revision>10</cp:revision>
  <cp:lastPrinted>2016-11-18T22:17:00Z</cp:lastPrinted>
  <dcterms:created xsi:type="dcterms:W3CDTF">2016-11-21T15:35:00Z</dcterms:created>
  <dcterms:modified xsi:type="dcterms:W3CDTF">2017-01-04T17:21:00Z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