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CB" w:rsidRPr="00AC46DC" w:rsidRDefault="00AC46DC" w:rsidP="00AC46DC">
      <w:pPr>
        <w:jc w:val="center"/>
        <w:rPr>
          <w:b/>
          <w:sz w:val="32"/>
          <w:szCs w:val="32"/>
        </w:rPr>
      </w:pPr>
      <w:r w:rsidRPr="00AC46DC">
        <w:rPr>
          <w:b/>
          <w:sz w:val="32"/>
          <w:szCs w:val="32"/>
        </w:rPr>
        <w:t>FACET-II Laser Heater Undulator (LHU) measurements report.</w:t>
      </w:r>
    </w:p>
    <w:p w:rsidR="00AC46DC" w:rsidRDefault="00AC46DC"/>
    <w:p w:rsidR="00AC46DC" w:rsidRDefault="00AC46DC" w:rsidP="00AC46DC">
      <w:pPr>
        <w:ind w:firstLine="720"/>
      </w:pPr>
      <w:r>
        <w:t>The FACET-II LHU (S/N</w:t>
      </w:r>
      <w:r w:rsidR="00BC0C97">
        <w:t xml:space="preserve"> </w:t>
      </w:r>
      <w:r>
        <w:t>LHU-0003), see picture 1, has been assembled, measured, tuned</w:t>
      </w:r>
      <w:r w:rsidR="00CB1007">
        <w:t>,</w:t>
      </w:r>
      <w:r>
        <w:t xml:space="preserve"> and calibrated at SLAC MMF.</w:t>
      </w:r>
    </w:p>
    <w:p w:rsidR="00AC46DC" w:rsidRDefault="00AC46DC" w:rsidP="00AC46DC">
      <w:pPr>
        <w:jc w:val="center"/>
      </w:pPr>
      <w:r>
        <w:rPr>
          <w:noProof/>
        </w:rPr>
        <w:drawing>
          <wp:inline distT="0" distB="0" distL="0" distR="0">
            <wp:extent cx="2494847" cy="314947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1123_11032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724" cy="318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6DC" w:rsidRDefault="00AC46DC" w:rsidP="00AC46DC">
      <w:pPr>
        <w:jc w:val="center"/>
      </w:pPr>
      <w:r>
        <w:t>Picture 1. Laser Heater Undulator.</w:t>
      </w:r>
    </w:p>
    <w:p w:rsidR="00CA30FD" w:rsidRDefault="00AC46DC" w:rsidP="00AC46DC">
      <w:r>
        <w:t xml:space="preserve">The LHU is </w:t>
      </w:r>
      <w:r w:rsidR="0030681E">
        <w:t xml:space="preserve">a </w:t>
      </w:r>
      <w:r>
        <w:t xml:space="preserve">9 period PPM device </w:t>
      </w:r>
      <w:r w:rsidR="00A73440">
        <w:t xml:space="preserve">based on Roger </w:t>
      </w:r>
      <w:proofErr w:type="spellStart"/>
      <w:r w:rsidR="00A73440">
        <w:t>Carr’s</w:t>
      </w:r>
      <w:proofErr w:type="spellEnd"/>
      <w:r w:rsidR="00A73440">
        <w:t xml:space="preserve"> design, </w:t>
      </w:r>
      <w:r>
        <w:t xml:space="preserve">with counterforce magnet arrays. </w:t>
      </w:r>
    </w:p>
    <w:p w:rsidR="00AC46DC" w:rsidRDefault="00AC46DC" w:rsidP="00AC46DC">
      <w:r>
        <w:t xml:space="preserve">The magnets were sorted initially to minimize the field errors. </w:t>
      </w:r>
    </w:p>
    <w:p w:rsidR="00AB3BB0" w:rsidRDefault="00AB3BB0" w:rsidP="00AC46DC">
      <w:r>
        <w:t xml:space="preserve">The LHU was measured following the “SLAC Magnetic Measurement Plan and Traveler for FACET-II Injector Laser Heater Undulator, Rev.2”. The document and </w:t>
      </w:r>
      <w:r w:rsidR="007A192C">
        <w:t xml:space="preserve">the </w:t>
      </w:r>
      <w:r>
        <w:t xml:space="preserve">other data could be found at: </w:t>
      </w:r>
      <w:r w:rsidRPr="00AB3BB0">
        <w:t>V:\MET\MagServe\MagData\LCLS-II-HE\Undulator\LHU-0003</w:t>
      </w:r>
      <w:r>
        <w:t>\....</w:t>
      </w:r>
    </w:p>
    <w:p w:rsidR="00134EDA" w:rsidRDefault="00134EDA" w:rsidP="00AC46DC">
      <w:r>
        <w:t xml:space="preserve">The coordinate system is </w:t>
      </w:r>
      <w:r w:rsidR="00E640AE">
        <w:t xml:space="preserve">the </w:t>
      </w:r>
      <w:r>
        <w:t xml:space="preserve">right-handed system with z-axis following the beam direction, y-axis is up, and x-axis makes the right-hand system. </w:t>
      </w:r>
    </w:p>
    <w:p w:rsidR="007E4D86" w:rsidRDefault="00AB3BB0" w:rsidP="00AC46DC">
      <w:r>
        <w:t>T</w:t>
      </w:r>
      <w:r w:rsidR="002D58EC">
        <w:t>he 2</w:t>
      </w:r>
      <w:r>
        <w:t xml:space="preserve">-D calibrated Sentron Hall probe was used for </w:t>
      </w:r>
      <w:r w:rsidR="00134EDA">
        <w:t xml:space="preserve">the </w:t>
      </w:r>
      <w:r>
        <w:t xml:space="preserve">field measurements. </w:t>
      </w:r>
      <w:r w:rsidR="000B09C5">
        <w:t>The bench set-up was so that the bench coordinate system was flipped around Y-axis. Difference in coordinate system</w:t>
      </w:r>
      <w:r w:rsidR="00CA30FD">
        <w:t>s</w:t>
      </w:r>
      <w:r w:rsidR="000B09C5">
        <w:t xml:space="preserve"> was taken into account during the data processing. </w:t>
      </w:r>
    </w:p>
    <w:p w:rsidR="007852A4" w:rsidRDefault="00AB3BB0" w:rsidP="00AC46DC">
      <w:r>
        <w:t xml:space="preserve">The field integrals were measured with 92cm </w:t>
      </w:r>
      <w:r w:rsidR="00134EDA">
        <w:t xml:space="preserve">long </w:t>
      </w:r>
      <w:r>
        <w:t xml:space="preserve">single stretched wire. </w:t>
      </w:r>
      <w:r w:rsidR="007852A4">
        <w:t xml:space="preserve">The ambient fields were subtracted from all the measurements. </w:t>
      </w:r>
    </w:p>
    <w:p w:rsidR="006C6666" w:rsidRDefault="006C6666" w:rsidP="00AC46DC">
      <w:r>
        <w:t xml:space="preserve">The undulator temperature was measured by 2 thermistors attached to </w:t>
      </w:r>
      <w:r w:rsidR="007E4D86">
        <w:t>upstream</w:t>
      </w:r>
      <w:r>
        <w:t xml:space="preserve"> faces of the upper and the lower jaws.</w:t>
      </w:r>
    </w:p>
    <w:p w:rsidR="00AC46DC" w:rsidRDefault="005E0875" w:rsidP="00AC46DC">
      <w:r>
        <w:t>All measurement data could be found at:</w:t>
      </w:r>
    </w:p>
    <w:p w:rsidR="005E0875" w:rsidRDefault="005E0875" w:rsidP="00AC46DC">
      <w:r w:rsidRPr="005E0875">
        <w:lastRenderedPageBreak/>
        <w:t>V:\MET\MagServe\MagData\LCLS-II-HE\Undulator\LHU-0003\DATASET0001\Tuning</w:t>
      </w:r>
      <w:r>
        <w:t xml:space="preserve">\.... </w:t>
      </w:r>
    </w:p>
    <w:p w:rsidR="005E0875" w:rsidRDefault="005E0875" w:rsidP="00AC46DC">
      <w:r>
        <w:t>The “Z</w:t>
      </w:r>
      <w:r w:rsidR="00E45782">
        <w:t xml:space="preserve"> S</w:t>
      </w:r>
      <w:r>
        <w:t xml:space="preserve">cans” folder contains all Hall probe measurements. </w:t>
      </w:r>
      <w:r w:rsidR="00E45782">
        <w:t xml:space="preserve">Explanations to the individual runs could be found in the”index.txt” file. </w:t>
      </w:r>
      <w:r>
        <w:t>The “Stretched wire” folder contains the field integrals</w:t>
      </w:r>
      <w:r w:rsidR="00E45782">
        <w:t>’</w:t>
      </w:r>
      <w:r>
        <w:t xml:space="preserve"> measurements. In addition, the final measurements at magnetic axis are summarized in the “Final Results” folder.</w:t>
      </w:r>
    </w:p>
    <w:p w:rsidR="00674C57" w:rsidRDefault="00674C57" w:rsidP="00AC46DC">
      <w:r>
        <w:t>The undulator gap was set using ceramic blocks, as in the picture 2.</w:t>
      </w:r>
      <w:r w:rsidR="00E640AE">
        <w:t xml:space="preserve"> The placement of the ceramic blocks and the gap value are marked on the lower jaw.</w:t>
      </w:r>
    </w:p>
    <w:p w:rsidR="00674C57" w:rsidRDefault="00674C57" w:rsidP="00674C57">
      <w:pPr>
        <w:jc w:val="center"/>
      </w:pPr>
      <w:r>
        <w:rPr>
          <w:rFonts w:cs="Arial"/>
          <w:noProof/>
          <w:sz w:val="28"/>
          <w:szCs w:val="28"/>
        </w:rPr>
        <w:drawing>
          <wp:inline distT="0" distB="0" distL="0" distR="0" wp14:anchorId="591BF65F" wp14:editId="20C770C2">
            <wp:extent cx="2543704" cy="1907777"/>
            <wp:effectExtent l="0" t="6032" r="3492" b="3493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21122_1019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66183" cy="19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C57" w:rsidRDefault="00674C57" w:rsidP="00674C57">
      <w:pPr>
        <w:jc w:val="center"/>
      </w:pPr>
      <w:r>
        <w:t xml:space="preserve">Picture 2. Ceramic block position </w:t>
      </w:r>
      <w:r w:rsidR="0081219F">
        <w:t>o</w:t>
      </w:r>
      <w:r>
        <w:t>n undulator jaw.</w:t>
      </w:r>
    </w:p>
    <w:p w:rsidR="0081219F" w:rsidRDefault="005E0875" w:rsidP="00AC46DC">
      <w:r>
        <w:t xml:space="preserve">After </w:t>
      </w:r>
      <w:r w:rsidR="008A2899">
        <w:t xml:space="preserve">the </w:t>
      </w:r>
      <w:r>
        <w:t>initi</w:t>
      </w:r>
      <w:r w:rsidR="00E45782">
        <w:t>al measurements</w:t>
      </w:r>
      <w:r w:rsidR="00E45782" w:rsidRPr="00E45782">
        <w:t xml:space="preserve"> </w:t>
      </w:r>
      <w:r w:rsidR="00E45782">
        <w:t>and tuning to tolerance</w:t>
      </w:r>
      <w:r w:rsidR="00BF6040">
        <w:t>s</w:t>
      </w:r>
      <w:r w:rsidR="00E45782">
        <w:t xml:space="preserve">, </w:t>
      </w:r>
      <w:r w:rsidR="002B4342">
        <w:t>the</w:t>
      </w:r>
      <w:r w:rsidR="008A2899">
        <w:t xml:space="preserve"> Hall probe measurement were done at </w:t>
      </w:r>
      <w:r w:rsidR="0078083C">
        <w:t xml:space="preserve">5 </w:t>
      </w:r>
      <w:r w:rsidR="008A2899">
        <w:t xml:space="preserve">different gap settings and the undulator K </w:t>
      </w:r>
      <w:r w:rsidR="007E4D86">
        <w:t xml:space="preserve">was </w:t>
      </w:r>
      <w:r w:rsidR="008A2899">
        <w:t>calculated for each gap</w:t>
      </w:r>
      <w:r w:rsidR="002B4342">
        <w:t>.</w:t>
      </w:r>
      <w:r w:rsidR="008A2899">
        <w:t xml:space="preserve"> The K data were fit with 3-rd order polynomial</w:t>
      </w:r>
      <w:r w:rsidR="00A23B94">
        <w:t xml:space="preserve"> to find </w:t>
      </w:r>
      <w:r w:rsidR="0078083C">
        <w:t xml:space="preserve">the </w:t>
      </w:r>
      <w:r w:rsidR="00A23B94">
        <w:t>required gap</w:t>
      </w:r>
      <w:r w:rsidR="008A2899">
        <w:t>. For K=1.1</w:t>
      </w:r>
      <w:r w:rsidR="00E640AE">
        <w:t>7 the gap should be set to 36.985</w:t>
      </w:r>
      <w:r w:rsidR="008A2899">
        <w:t>mm. The final Hall probe scan and all wire measurements were done at this gap.</w:t>
      </w:r>
      <w:r w:rsidR="00483FB8">
        <w:t xml:space="preserve"> </w:t>
      </w:r>
    </w:p>
    <w:p w:rsidR="002B4342" w:rsidRDefault="00483FB8" w:rsidP="00AC46DC">
      <w:r>
        <w:t xml:space="preserve">The off-axis field integral measurements are shown in figure 1. </w:t>
      </w:r>
    </w:p>
    <w:p w:rsidR="00483FB8" w:rsidRDefault="00483FB8" w:rsidP="00483FB8">
      <w:pPr>
        <w:jc w:val="center"/>
      </w:pPr>
      <w:r>
        <w:rPr>
          <w:noProof/>
        </w:rPr>
        <w:drawing>
          <wp:inline distT="0" distB="0" distL="0" distR="0" wp14:anchorId="234BE95E" wp14:editId="324490F1">
            <wp:extent cx="4181475" cy="237172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83FB8" w:rsidRPr="0081219F" w:rsidRDefault="00483FB8" w:rsidP="00483FB8">
      <w:pPr>
        <w:spacing w:after="200" w:line="276" w:lineRule="auto"/>
        <w:jc w:val="center"/>
        <w:rPr>
          <w:rFonts w:cs="Arial"/>
        </w:rPr>
      </w:pPr>
      <w:r w:rsidRPr="0081219F">
        <w:rPr>
          <w:rFonts w:cs="Arial"/>
        </w:rPr>
        <w:t>Figure 1. Field integrals vs. X-position</w:t>
      </w:r>
    </w:p>
    <w:p w:rsidR="005E0875" w:rsidRDefault="002B4342" w:rsidP="00AC46DC">
      <w:r>
        <w:lastRenderedPageBreak/>
        <w:t>T</w:t>
      </w:r>
      <w:r w:rsidR="00E45782">
        <w:t>he</w:t>
      </w:r>
      <w:r w:rsidR="005E0875">
        <w:t xml:space="preserve"> </w:t>
      </w:r>
      <w:r w:rsidR="00E45782">
        <w:t>following was performed on the LHU</w:t>
      </w:r>
      <w:r>
        <w:t xml:space="preserve"> after the final measurement</w:t>
      </w:r>
      <w:r w:rsidR="00E45782">
        <w:t>:</w:t>
      </w:r>
    </w:p>
    <w:p w:rsidR="00E45782" w:rsidRDefault="00E45782" w:rsidP="00AC46DC">
      <w:r>
        <w:t xml:space="preserve">- </w:t>
      </w:r>
      <w:r w:rsidR="00BF6040">
        <w:tab/>
      </w:r>
      <w:r>
        <w:t>Gap fixing plate was attached to the backs of the undulator jaws.</w:t>
      </w:r>
    </w:p>
    <w:p w:rsidR="00E45782" w:rsidRDefault="00E45782" w:rsidP="00AC46DC">
      <w:r>
        <w:t xml:space="preserve">- </w:t>
      </w:r>
      <w:r w:rsidR="00BF6040">
        <w:tab/>
      </w:r>
      <w:r>
        <w:t>Lifting fixture was attached to the undulator.</w:t>
      </w:r>
    </w:p>
    <w:p w:rsidR="00E45782" w:rsidRDefault="00E45782" w:rsidP="00AC46DC">
      <w:r>
        <w:t xml:space="preserve">- </w:t>
      </w:r>
      <w:r w:rsidR="00BF6040">
        <w:tab/>
      </w:r>
      <w:r>
        <w:t xml:space="preserve">The </w:t>
      </w:r>
      <w:r w:rsidR="003675E1">
        <w:t xml:space="preserve">transportation test. The </w:t>
      </w:r>
      <w:r>
        <w:t xml:space="preserve">LHU was taken off the measurement bench, put on a cart, rolled outside the building, as in picture </w:t>
      </w:r>
      <w:r w:rsidR="00674C57">
        <w:t>3</w:t>
      </w:r>
      <w:r>
        <w:t xml:space="preserve">, brought back and installed on the measurement bench, aligned and re-measured. The results </w:t>
      </w:r>
      <w:r w:rsidR="00087A82">
        <w:t xml:space="preserve">of K measurements </w:t>
      </w:r>
      <w:r>
        <w:t>are summarized in table 1.</w:t>
      </w:r>
    </w:p>
    <w:p w:rsidR="00E45782" w:rsidRDefault="00E45782" w:rsidP="00E45782">
      <w:pPr>
        <w:jc w:val="center"/>
      </w:pPr>
      <w:r>
        <w:rPr>
          <w:noProof/>
        </w:rPr>
        <w:drawing>
          <wp:inline distT="0" distB="0" distL="0" distR="0">
            <wp:extent cx="3189073" cy="2391805"/>
            <wp:effectExtent l="0" t="127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123_1105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01438" cy="240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782" w:rsidRDefault="00E45782" w:rsidP="00E45782">
      <w:pPr>
        <w:jc w:val="center"/>
      </w:pPr>
      <w:r>
        <w:t xml:space="preserve">Picture </w:t>
      </w:r>
      <w:r w:rsidR="00674C57">
        <w:t>3</w:t>
      </w:r>
      <w:r>
        <w:t>. The LHU Transportation test set-up.</w:t>
      </w:r>
    </w:p>
    <w:p w:rsidR="00E45782" w:rsidRPr="00087A82" w:rsidRDefault="00343126" w:rsidP="00087A82">
      <w:pPr>
        <w:spacing w:after="0"/>
        <w:rPr>
          <w:b/>
          <w:sz w:val="18"/>
          <w:szCs w:val="18"/>
        </w:rPr>
      </w:pPr>
      <w:r w:rsidRPr="00087A82">
        <w:rPr>
          <w:b/>
          <w:sz w:val="18"/>
          <w:szCs w:val="18"/>
        </w:rPr>
        <w:t>Table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733"/>
        <w:gridCol w:w="1545"/>
        <w:gridCol w:w="1878"/>
        <w:gridCol w:w="1833"/>
        <w:gridCol w:w="1792"/>
      </w:tblGrid>
      <w:tr w:rsidR="005C1515" w:rsidTr="005C1515">
        <w:tc>
          <w:tcPr>
            <w:tcW w:w="569" w:type="dxa"/>
          </w:tcPr>
          <w:p w:rsidR="005C1515" w:rsidRDefault="005C1515" w:rsidP="00343126">
            <w:pPr>
              <w:jc w:val="center"/>
            </w:pPr>
          </w:p>
        </w:tc>
        <w:tc>
          <w:tcPr>
            <w:tcW w:w="1733" w:type="dxa"/>
          </w:tcPr>
          <w:p w:rsidR="005C1515" w:rsidRDefault="005C1515" w:rsidP="00343126">
            <w:pPr>
              <w:jc w:val="center"/>
            </w:pPr>
            <w:r>
              <w:t>Initial</w:t>
            </w:r>
          </w:p>
        </w:tc>
        <w:tc>
          <w:tcPr>
            <w:tcW w:w="1545" w:type="dxa"/>
          </w:tcPr>
          <w:p w:rsidR="005C1515" w:rsidRDefault="005C1515" w:rsidP="00343126">
            <w:pPr>
              <w:jc w:val="center"/>
            </w:pPr>
            <w:r>
              <w:t>Plate</w:t>
            </w:r>
          </w:p>
        </w:tc>
        <w:tc>
          <w:tcPr>
            <w:tcW w:w="1878" w:type="dxa"/>
          </w:tcPr>
          <w:p w:rsidR="005C1515" w:rsidRDefault="005C1515" w:rsidP="00343126">
            <w:pPr>
              <w:jc w:val="center"/>
            </w:pPr>
            <w:r>
              <w:t>Before test</w:t>
            </w:r>
          </w:p>
        </w:tc>
        <w:tc>
          <w:tcPr>
            <w:tcW w:w="1833" w:type="dxa"/>
          </w:tcPr>
          <w:p w:rsidR="005C1515" w:rsidRDefault="005C1515" w:rsidP="00343126">
            <w:pPr>
              <w:jc w:val="center"/>
            </w:pPr>
            <w:r>
              <w:t>After test</w:t>
            </w:r>
          </w:p>
        </w:tc>
        <w:tc>
          <w:tcPr>
            <w:tcW w:w="1792" w:type="dxa"/>
          </w:tcPr>
          <w:p w:rsidR="005C1515" w:rsidRDefault="005C1515" w:rsidP="00343126">
            <w:pPr>
              <w:jc w:val="center"/>
            </w:pPr>
            <w:r>
              <w:t>Max diff.</w:t>
            </w:r>
          </w:p>
        </w:tc>
      </w:tr>
      <w:tr w:rsidR="005C1515" w:rsidTr="005C1515">
        <w:tc>
          <w:tcPr>
            <w:tcW w:w="569" w:type="dxa"/>
          </w:tcPr>
          <w:p w:rsidR="005C1515" w:rsidRDefault="005C1515" w:rsidP="00343126">
            <w:pPr>
              <w:jc w:val="center"/>
            </w:pPr>
            <w:r>
              <w:t>K</w:t>
            </w:r>
          </w:p>
        </w:tc>
        <w:tc>
          <w:tcPr>
            <w:tcW w:w="1733" w:type="dxa"/>
          </w:tcPr>
          <w:p w:rsidR="005C1515" w:rsidRPr="00343126" w:rsidRDefault="005C1515" w:rsidP="00343126">
            <w:pPr>
              <w:jc w:val="center"/>
            </w:pPr>
            <w:r w:rsidRPr="00343126">
              <w:t>1.170803</w:t>
            </w:r>
          </w:p>
        </w:tc>
        <w:tc>
          <w:tcPr>
            <w:tcW w:w="1545" w:type="dxa"/>
          </w:tcPr>
          <w:p w:rsidR="005C1515" w:rsidRPr="00343126" w:rsidRDefault="005C1515" w:rsidP="00343126">
            <w:pPr>
              <w:jc w:val="center"/>
            </w:pPr>
            <w:r>
              <w:t>1.</w:t>
            </w:r>
            <w:r w:rsidR="00E35DE1">
              <w:t>1</w:t>
            </w:r>
            <w:bookmarkStart w:id="0" w:name="_GoBack"/>
            <w:bookmarkEnd w:id="0"/>
            <w:r>
              <w:t>68020</w:t>
            </w:r>
          </w:p>
        </w:tc>
        <w:tc>
          <w:tcPr>
            <w:tcW w:w="1878" w:type="dxa"/>
          </w:tcPr>
          <w:p w:rsidR="005C1515" w:rsidRDefault="005C1515" w:rsidP="00343126">
            <w:pPr>
              <w:jc w:val="center"/>
            </w:pPr>
            <w:r w:rsidRPr="00343126">
              <w:t>1.168370</w:t>
            </w:r>
          </w:p>
        </w:tc>
        <w:tc>
          <w:tcPr>
            <w:tcW w:w="1833" w:type="dxa"/>
          </w:tcPr>
          <w:p w:rsidR="005C1515" w:rsidRDefault="005C1515" w:rsidP="00343126">
            <w:pPr>
              <w:jc w:val="center"/>
            </w:pPr>
            <w:r w:rsidRPr="00343126">
              <w:t>1.168685</w:t>
            </w:r>
          </w:p>
        </w:tc>
        <w:tc>
          <w:tcPr>
            <w:tcW w:w="1792" w:type="dxa"/>
          </w:tcPr>
          <w:p w:rsidR="005C1515" w:rsidRPr="00343126" w:rsidRDefault="005C1515" w:rsidP="00343126">
            <w:pPr>
              <w:jc w:val="center"/>
            </w:pPr>
            <w:r>
              <w:t>0.002783</w:t>
            </w:r>
          </w:p>
        </w:tc>
      </w:tr>
    </w:tbl>
    <w:p w:rsidR="00343126" w:rsidRDefault="00343126" w:rsidP="00343126">
      <w:pPr>
        <w:jc w:val="center"/>
      </w:pPr>
    </w:p>
    <w:p w:rsidR="00087A82" w:rsidRDefault="00087A82" w:rsidP="00087A82">
      <w:r>
        <w:t xml:space="preserve">Attaching the gap fixing plate has changed the gap a little bit (canting the jaws) but the K difference is in tolerance (+-0.003). The vertical rods of the lifting fixture have a small effect on the K. </w:t>
      </w:r>
      <w:r w:rsidR="002B4342">
        <w:t xml:space="preserve">The field integral’s change was small also. </w:t>
      </w:r>
      <w:r>
        <w:t>Therefore, the lifting fixture could be left on the LHU when installed.</w:t>
      </w:r>
      <w:r w:rsidR="007E65D4">
        <w:t xml:space="preserve"> The K change after the transportation test is small also. </w:t>
      </w:r>
    </w:p>
    <w:p w:rsidR="007F55C4" w:rsidRDefault="007F55C4" w:rsidP="00087A82"/>
    <w:p w:rsidR="007F55C4" w:rsidRDefault="007F55C4" w:rsidP="00087A82"/>
    <w:p w:rsidR="007F55C4" w:rsidRDefault="007F55C4" w:rsidP="00087A82">
      <w:r>
        <w:t>Prepared by: Yurii Levashov</w:t>
      </w:r>
      <w:r w:rsidR="00AA144A">
        <w:t xml:space="preserve">   </w:t>
      </w:r>
    </w:p>
    <w:p w:rsidR="007F55C4" w:rsidRDefault="007F55C4" w:rsidP="00087A82">
      <w:r>
        <w:t>1</w:t>
      </w:r>
      <w:r w:rsidR="00E640AE">
        <w:t>2</w:t>
      </w:r>
      <w:r>
        <w:t>/</w:t>
      </w:r>
      <w:r w:rsidR="00E640AE">
        <w:t>7</w:t>
      </w:r>
      <w:r>
        <w:t>/2022</w:t>
      </w:r>
    </w:p>
    <w:sectPr w:rsidR="007F5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DC"/>
    <w:rsid w:val="00087A82"/>
    <w:rsid w:val="000B09C5"/>
    <w:rsid w:val="00134EDA"/>
    <w:rsid w:val="00271CCB"/>
    <w:rsid w:val="002B4342"/>
    <w:rsid w:val="002D58EC"/>
    <w:rsid w:val="0030681E"/>
    <w:rsid w:val="00343126"/>
    <w:rsid w:val="003675E1"/>
    <w:rsid w:val="00483FB8"/>
    <w:rsid w:val="005C1515"/>
    <w:rsid w:val="005D68F6"/>
    <w:rsid w:val="005E0875"/>
    <w:rsid w:val="00674C57"/>
    <w:rsid w:val="006C6666"/>
    <w:rsid w:val="0078083C"/>
    <w:rsid w:val="007852A4"/>
    <w:rsid w:val="007A192C"/>
    <w:rsid w:val="007E4D86"/>
    <w:rsid w:val="007E65D4"/>
    <w:rsid w:val="007F55C4"/>
    <w:rsid w:val="0081219F"/>
    <w:rsid w:val="008A2899"/>
    <w:rsid w:val="00A23B94"/>
    <w:rsid w:val="00A73440"/>
    <w:rsid w:val="00AA144A"/>
    <w:rsid w:val="00AB3BB0"/>
    <w:rsid w:val="00AC46DC"/>
    <w:rsid w:val="00BC0C97"/>
    <w:rsid w:val="00BF6040"/>
    <w:rsid w:val="00CA30FD"/>
    <w:rsid w:val="00CB1007"/>
    <w:rsid w:val="00E35DE1"/>
    <w:rsid w:val="00E45782"/>
    <w:rsid w:val="00E6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48A5A"/>
  <w15:chartTrackingRefBased/>
  <w15:docId w15:val="{A2B82D53-524B-4F69-B792-335E4113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Field Integrals vs. X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I1X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Sheet1!$B$9:$B$15</c:f>
              <c:numCache>
                <c:formatCode>General</c:formatCode>
                <c:ptCount val="7"/>
                <c:pt idx="0">
                  <c:v>15</c:v>
                </c:pt>
                <c:pt idx="1">
                  <c:v>10</c:v>
                </c:pt>
                <c:pt idx="2">
                  <c:v>5</c:v>
                </c:pt>
                <c:pt idx="3">
                  <c:v>0</c:v>
                </c:pt>
                <c:pt idx="4">
                  <c:v>-5</c:v>
                </c:pt>
                <c:pt idx="5">
                  <c:v>-10</c:v>
                </c:pt>
                <c:pt idx="6">
                  <c:v>-15</c:v>
                </c:pt>
              </c:numCache>
            </c:numRef>
          </c:xVal>
          <c:yVal>
            <c:numRef>
              <c:f>Sheet1!$C$9:$C$15</c:f>
              <c:numCache>
                <c:formatCode>General</c:formatCode>
                <c:ptCount val="7"/>
                <c:pt idx="0">
                  <c:v>89.67</c:v>
                </c:pt>
                <c:pt idx="1">
                  <c:v>58.500999999999998</c:v>
                </c:pt>
                <c:pt idx="2">
                  <c:v>21.283999999999999</c:v>
                </c:pt>
                <c:pt idx="3">
                  <c:v>3.7160000000000002</c:v>
                </c:pt>
                <c:pt idx="4">
                  <c:v>17.065999999999999</c:v>
                </c:pt>
                <c:pt idx="5">
                  <c:v>48.314</c:v>
                </c:pt>
                <c:pt idx="6">
                  <c:v>73.53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701-4954-8C87-BE70560C8777}"/>
            </c:ext>
          </c:extLst>
        </c:ser>
        <c:ser>
          <c:idx val="1"/>
          <c:order val="1"/>
          <c:tx>
            <c:v>I1Y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Sheet1!$B$9:$B$15</c:f>
              <c:numCache>
                <c:formatCode>General</c:formatCode>
                <c:ptCount val="7"/>
                <c:pt idx="0">
                  <c:v>15</c:v>
                </c:pt>
                <c:pt idx="1">
                  <c:v>10</c:v>
                </c:pt>
                <c:pt idx="2">
                  <c:v>5</c:v>
                </c:pt>
                <c:pt idx="3">
                  <c:v>0</c:v>
                </c:pt>
                <c:pt idx="4">
                  <c:v>-5</c:v>
                </c:pt>
                <c:pt idx="5">
                  <c:v>-10</c:v>
                </c:pt>
                <c:pt idx="6">
                  <c:v>-15</c:v>
                </c:pt>
              </c:numCache>
            </c:numRef>
          </c:xVal>
          <c:yVal>
            <c:numRef>
              <c:f>Sheet1!$D$9:$D$15</c:f>
              <c:numCache>
                <c:formatCode>General</c:formatCode>
                <c:ptCount val="7"/>
                <c:pt idx="0">
                  <c:v>-74.778999999999996</c:v>
                </c:pt>
                <c:pt idx="1">
                  <c:v>-42.674999999999997</c:v>
                </c:pt>
                <c:pt idx="2">
                  <c:v>-21.442</c:v>
                </c:pt>
                <c:pt idx="3">
                  <c:v>-2.7669999999999999</c:v>
                </c:pt>
                <c:pt idx="4">
                  <c:v>14.44</c:v>
                </c:pt>
                <c:pt idx="5">
                  <c:v>32.613</c:v>
                </c:pt>
                <c:pt idx="6">
                  <c:v>44.686999999999998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701-4954-8C87-BE70560C8777}"/>
            </c:ext>
          </c:extLst>
        </c:ser>
        <c:ser>
          <c:idx val="2"/>
          <c:order val="2"/>
          <c:tx>
            <c:v>I2X</c:v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Sheet1!$B$9:$B$15</c:f>
              <c:numCache>
                <c:formatCode>General</c:formatCode>
                <c:ptCount val="7"/>
                <c:pt idx="0">
                  <c:v>15</c:v>
                </c:pt>
                <c:pt idx="1">
                  <c:v>10</c:v>
                </c:pt>
                <c:pt idx="2">
                  <c:v>5</c:v>
                </c:pt>
                <c:pt idx="3">
                  <c:v>0</c:v>
                </c:pt>
                <c:pt idx="4">
                  <c:v>-5</c:v>
                </c:pt>
                <c:pt idx="5">
                  <c:v>-10</c:v>
                </c:pt>
                <c:pt idx="6">
                  <c:v>-15</c:v>
                </c:pt>
              </c:numCache>
            </c:numRef>
          </c:xVal>
          <c:yVal>
            <c:numRef>
              <c:f>Sheet1!$E$9:$E$15</c:f>
              <c:numCache>
                <c:formatCode>General</c:formatCode>
                <c:ptCount val="7"/>
                <c:pt idx="0">
                  <c:v>42.595999999999997</c:v>
                </c:pt>
                <c:pt idx="1">
                  <c:v>27.896000000000001</c:v>
                </c:pt>
                <c:pt idx="2">
                  <c:v>9.4659999999999993</c:v>
                </c:pt>
                <c:pt idx="3">
                  <c:v>-7.6999999999999999E-2</c:v>
                </c:pt>
                <c:pt idx="4">
                  <c:v>1.944</c:v>
                </c:pt>
                <c:pt idx="5">
                  <c:v>12.452</c:v>
                </c:pt>
                <c:pt idx="6">
                  <c:v>19.364999999999998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A701-4954-8C87-BE70560C8777}"/>
            </c:ext>
          </c:extLst>
        </c:ser>
        <c:ser>
          <c:idx val="3"/>
          <c:order val="3"/>
          <c:tx>
            <c:v>I2Y</c:v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Sheet1!$B$9:$B$15</c:f>
              <c:numCache>
                <c:formatCode>General</c:formatCode>
                <c:ptCount val="7"/>
                <c:pt idx="0">
                  <c:v>15</c:v>
                </c:pt>
                <c:pt idx="1">
                  <c:v>10</c:v>
                </c:pt>
                <c:pt idx="2">
                  <c:v>5</c:v>
                </c:pt>
                <c:pt idx="3">
                  <c:v>0</c:v>
                </c:pt>
                <c:pt idx="4">
                  <c:v>-5</c:v>
                </c:pt>
                <c:pt idx="5">
                  <c:v>-10</c:v>
                </c:pt>
                <c:pt idx="6">
                  <c:v>-15</c:v>
                </c:pt>
              </c:numCache>
            </c:numRef>
          </c:xVal>
          <c:yVal>
            <c:numRef>
              <c:f>Sheet1!$F$9:$F$15</c:f>
              <c:numCache>
                <c:formatCode>General</c:formatCode>
                <c:ptCount val="7"/>
                <c:pt idx="0">
                  <c:v>-30.588999999999999</c:v>
                </c:pt>
                <c:pt idx="1">
                  <c:v>-17.184000000000001</c:v>
                </c:pt>
                <c:pt idx="2">
                  <c:v>-5.5030000000000001</c:v>
                </c:pt>
                <c:pt idx="3">
                  <c:v>2.0030000000000001</c:v>
                </c:pt>
                <c:pt idx="4">
                  <c:v>12.954000000000001</c:v>
                </c:pt>
                <c:pt idx="5">
                  <c:v>22.54</c:v>
                </c:pt>
                <c:pt idx="6">
                  <c:v>34.204000000000001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A701-4954-8C87-BE70560C87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9906048"/>
        <c:axId val="529903752"/>
      </c:scatterChart>
      <c:valAx>
        <c:axId val="529906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X(mm)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9903752"/>
        <c:crosses val="autoZero"/>
        <c:crossBetween val="midCat"/>
      </c:valAx>
      <c:valAx>
        <c:axId val="529903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(uTm/uTm2)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9906048"/>
        <c:crossesAt val="-20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7</cp:revision>
  <dcterms:created xsi:type="dcterms:W3CDTF">2022-11-23T22:39:00Z</dcterms:created>
  <dcterms:modified xsi:type="dcterms:W3CDTF">2022-12-06T19:00:00Z</dcterms:modified>
</cp:coreProperties>
</file>